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DC" w:rsidRPr="00EC6D6A" w:rsidRDefault="00EC6D6A" w:rsidP="00B431D1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EC6D6A">
        <w:rPr>
          <w:b/>
          <w:sz w:val="36"/>
          <w:szCs w:val="36"/>
        </w:rPr>
        <w:t xml:space="preserve">ELK POINT MINOR HOCKEY </w:t>
      </w:r>
    </w:p>
    <w:p w:rsidR="00EC6D6A" w:rsidRDefault="00EC6D6A" w:rsidP="00B431D1">
      <w:pPr>
        <w:spacing w:after="0"/>
        <w:jc w:val="center"/>
        <w:rPr>
          <w:b/>
          <w:sz w:val="36"/>
          <w:szCs w:val="36"/>
        </w:rPr>
      </w:pPr>
      <w:r w:rsidRPr="00EC6D6A">
        <w:rPr>
          <w:b/>
          <w:sz w:val="36"/>
          <w:szCs w:val="36"/>
        </w:rPr>
        <w:t>PLAYER REGISTRATION AND FEES 2017-2018</w:t>
      </w:r>
    </w:p>
    <w:tbl>
      <w:tblPr>
        <w:tblStyle w:val="TableGrid"/>
        <w:tblW w:w="10877" w:type="dxa"/>
        <w:tblLook w:val="04A0" w:firstRow="1" w:lastRow="0" w:firstColumn="1" w:lastColumn="0" w:noHBand="0" w:noVBand="1"/>
      </w:tblPr>
      <w:tblGrid>
        <w:gridCol w:w="1740"/>
        <w:gridCol w:w="1227"/>
        <w:gridCol w:w="1842"/>
        <w:gridCol w:w="2104"/>
        <w:gridCol w:w="2122"/>
        <w:gridCol w:w="1842"/>
      </w:tblGrid>
      <w:tr w:rsidR="00AE0CE6" w:rsidTr="00AE0CE6">
        <w:trPr>
          <w:trHeight w:val="1343"/>
        </w:trPr>
        <w:tc>
          <w:tcPr>
            <w:tcW w:w="1743" w:type="dxa"/>
            <w:vAlign w:val="center"/>
          </w:tcPr>
          <w:p w:rsidR="00AE0CE6" w:rsidRPr="00EC6D6A" w:rsidRDefault="00AE0CE6" w:rsidP="00AE0CE6">
            <w:pPr>
              <w:jc w:val="center"/>
              <w:rPr>
                <w:b/>
                <w:sz w:val="28"/>
                <w:szCs w:val="28"/>
              </w:rPr>
            </w:pPr>
            <w:r w:rsidRPr="00EC6D6A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1230" w:type="dxa"/>
            <w:vAlign w:val="center"/>
          </w:tcPr>
          <w:p w:rsidR="00AE0CE6" w:rsidRPr="00EC6D6A" w:rsidRDefault="00AE0CE6" w:rsidP="00AE0CE6">
            <w:pPr>
              <w:jc w:val="center"/>
              <w:rPr>
                <w:b/>
                <w:sz w:val="28"/>
                <w:szCs w:val="28"/>
              </w:rPr>
            </w:pPr>
            <w:r w:rsidRPr="00EC6D6A">
              <w:rPr>
                <w:b/>
                <w:sz w:val="28"/>
                <w:szCs w:val="28"/>
              </w:rPr>
              <w:t>Age as of Dec. 31</w:t>
            </w:r>
          </w:p>
        </w:tc>
        <w:tc>
          <w:tcPr>
            <w:tcW w:w="1844" w:type="dxa"/>
            <w:vAlign w:val="center"/>
          </w:tcPr>
          <w:p w:rsidR="00AE0CE6" w:rsidRDefault="00AE0CE6" w:rsidP="00AE0CE6">
            <w:pPr>
              <w:jc w:val="center"/>
              <w:rPr>
                <w:b/>
                <w:sz w:val="28"/>
                <w:szCs w:val="28"/>
              </w:rPr>
            </w:pPr>
            <w:r w:rsidRPr="00EC6D6A">
              <w:rPr>
                <w:b/>
                <w:sz w:val="28"/>
                <w:szCs w:val="28"/>
              </w:rPr>
              <w:t xml:space="preserve">Regular </w:t>
            </w:r>
            <w:r>
              <w:rPr>
                <w:b/>
                <w:sz w:val="28"/>
                <w:szCs w:val="28"/>
              </w:rPr>
              <w:t>Registration Fee</w:t>
            </w:r>
          </w:p>
          <w:p w:rsidR="000217C2" w:rsidRPr="000217C2" w:rsidRDefault="000217C2" w:rsidP="00AE0CE6">
            <w:pPr>
              <w:jc w:val="center"/>
              <w:rPr>
                <w:b/>
                <w:sz w:val="24"/>
                <w:szCs w:val="24"/>
              </w:rPr>
            </w:pPr>
            <w:r w:rsidRPr="000217C2">
              <w:rPr>
                <w:b/>
                <w:sz w:val="24"/>
                <w:szCs w:val="24"/>
              </w:rPr>
              <w:t>July 1-August 31</w:t>
            </w:r>
          </w:p>
        </w:tc>
        <w:tc>
          <w:tcPr>
            <w:tcW w:w="2108" w:type="dxa"/>
            <w:vAlign w:val="center"/>
          </w:tcPr>
          <w:p w:rsidR="00AE0CE6" w:rsidRPr="000217C2" w:rsidRDefault="001907BE" w:rsidP="00AE0CE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Early Registration until</w:t>
            </w:r>
            <w:r w:rsidR="00AE0CE6" w:rsidRPr="000217C2">
              <w:rPr>
                <w:b/>
                <w:sz w:val="28"/>
                <w:szCs w:val="28"/>
                <w:highlight w:val="yellow"/>
              </w:rPr>
              <w:t xml:space="preserve"> June 30, </w:t>
            </w:r>
          </w:p>
          <w:p w:rsidR="00AE0CE6" w:rsidRPr="00EC6D6A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 w:rsidRPr="000217C2">
              <w:rPr>
                <w:b/>
                <w:sz w:val="24"/>
                <w:szCs w:val="24"/>
                <w:highlight w:val="yellow"/>
              </w:rPr>
              <w:t>$50.00 discount*</w:t>
            </w:r>
          </w:p>
        </w:tc>
        <w:tc>
          <w:tcPr>
            <w:tcW w:w="2108" w:type="dxa"/>
            <w:vAlign w:val="center"/>
          </w:tcPr>
          <w:p w:rsidR="00AE0CE6" w:rsidRPr="00EC6D6A" w:rsidRDefault="00AE0CE6" w:rsidP="00AE0CE6">
            <w:pPr>
              <w:jc w:val="center"/>
              <w:rPr>
                <w:b/>
                <w:sz w:val="28"/>
                <w:szCs w:val="28"/>
              </w:rPr>
            </w:pPr>
            <w:r w:rsidRPr="00EC6D6A">
              <w:rPr>
                <w:b/>
                <w:sz w:val="28"/>
                <w:szCs w:val="28"/>
              </w:rPr>
              <w:t>Registration Fee aft</w:t>
            </w:r>
            <w:r w:rsidR="001907BE">
              <w:rPr>
                <w:b/>
                <w:sz w:val="28"/>
                <w:szCs w:val="28"/>
              </w:rPr>
              <w:t>er Sept.</w:t>
            </w:r>
            <w:r>
              <w:rPr>
                <w:b/>
                <w:sz w:val="28"/>
                <w:szCs w:val="28"/>
              </w:rPr>
              <w:t xml:space="preserve"> 1 </w:t>
            </w:r>
            <w:r w:rsidR="001907BE">
              <w:rPr>
                <w:b/>
                <w:sz w:val="24"/>
                <w:szCs w:val="24"/>
              </w:rPr>
              <w:t>$100.00penalty</w:t>
            </w:r>
            <w:r w:rsidRPr="00EC6D6A"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1844" w:type="dxa"/>
            <w:vAlign w:val="center"/>
          </w:tcPr>
          <w:p w:rsidR="00AE0CE6" w:rsidRPr="00EC6D6A" w:rsidRDefault="00AE0CE6" w:rsidP="00AE0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50% deposit for June Registration </w:t>
            </w:r>
            <w:r w:rsidRPr="000217C2">
              <w:rPr>
                <w:b/>
                <w:sz w:val="24"/>
                <w:szCs w:val="24"/>
              </w:rPr>
              <w:t>**</w:t>
            </w:r>
          </w:p>
        </w:tc>
      </w:tr>
      <w:tr w:rsidR="00AE0CE6" w:rsidTr="00AE0CE6">
        <w:trPr>
          <w:trHeight w:val="562"/>
        </w:trPr>
        <w:tc>
          <w:tcPr>
            <w:tcW w:w="1743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Micro Novice</w:t>
            </w:r>
          </w:p>
        </w:tc>
        <w:tc>
          <w:tcPr>
            <w:tcW w:w="1230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4-6</w:t>
            </w:r>
          </w:p>
        </w:tc>
        <w:tc>
          <w:tcPr>
            <w:tcW w:w="1844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$350.00</w:t>
            </w:r>
          </w:p>
        </w:tc>
        <w:tc>
          <w:tcPr>
            <w:tcW w:w="2108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$300.00</w:t>
            </w:r>
          </w:p>
        </w:tc>
        <w:tc>
          <w:tcPr>
            <w:tcW w:w="2108" w:type="dxa"/>
            <w:vAlign w:val="center"/>
          </w:tcPr>
          <w:p w:rsidR="00AE0CE6" w:rsidRPr="00AE0CE6" w:rsidRDefault="00AE0CE6" w:rsidP="001907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1907BE">
              <w:rPr>
                <w:b/>
                <w:sz w:val="24"/>
                <w:szCs w:val="24"/>
              </w:rPr>
              <w:t>450.00</w:t>
            </w:r>
          </w:p>
        </w:tc>
        <w:tc>
          <w:tcPr>
            <w:tcW w:w="1844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$150.00</w:t>
            </w:r>
          </w:p>
        </w:tc>
      </w:tr>
      <w:tr w:rsidR="00AE0CE6" w:rsidTr="00AE0CE6">
        <w:trPr>
          <w:trHeight w:val="562"/>
        </w:trPr>
        <w:tc>
          <w:tcPr>
            <w:tcW w:w="1743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Novice</w:t>
            </w:r>
          </w:p>
        </w:tc>
        <w:tc>
          <w:tcPr>
            <w:tcW w:w="1230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1844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$400.00</w:t>
            </w:r>
          </w:p>
        </w:tc>
        <w:tc>
          <w:tcPr>
            <w:tcW w:w="2108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$350.00</w:t>
            </w:r>
          </w:p>
        </w:tc>
        <w:tc>
          <w:tcPr>
            <w:tcW w:w="2108" w:type="dxa"/>
            <w:vAlign w:val="center"/>
          </w:tcPr>
          <w:p w:rsidR="00AE0CE6" w:rsidRPr="00AE0CE6" w:rsidRDefault="00AE0CE6" w:rsidP="001907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1907BE">
              <w:rPr>
                <w:b/>
                <w:sz w:val="24"/>
                <w:szCs w:val="24"/>
              </w:rPr>
              <w:t>500.00</w:t>
            </w:r>
          </w:p>
        </w:tc>
        <w:tc>
          <w:tcPr>
            <w:tcW w:w="1844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$175.00</w:t>
            </w:r>
          </w:p>
        </w:tc>
      </w:tr>
      <w:tr w:rsidR="00AE0CE6" w:rsidTr="00AE0CE6">
        <w:trPr>
          <w:trHeight w:val="562"/>
        </w:trPr>
        <w:tc>
          <w:tcPr>
            <w:tcW w:w="1743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Atom</w:t>
            </w:r>
          </w:p>
        </w:tc>
        <w:tc>
          <w:tcPr>
            <w:tcW w:w="1230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1844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$450.00</w:t>
            </w:r>
          </w:p>
        </w:tc>
        <w:tc>
          <w:tcPr>
            <w:tcW w:w="2108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$400.00</w:t>
            </w:r>
          </w:p>
        </w:tc>
        <w:tc>
          <w:tcPr>
            <w:tcW w:w="2108" w:type="dxa"/>
            <w:vAlign w:val="center"/>
          </w:tcPr>
          <w:p w:rsidR="00AE0CE6" w:rsidRPr="00AE0CE6" w:rsidRDefault="001907BE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$55</w:t>
            </w:r>
            <w:r w:rsidR="00AE0CE6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844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$200.00</w:t>
            </w:r>
          </w:p>
        </w:tc>
      </w:tr>
      <w:tr w:rsidR="00AE0CE6" w:rsidTr="00AE0CE6">
        <w:trPr>
          <w:trHeight w:val="562"/>
        </w:trPr>
        <w:tc>
          <w:tcPr>
            <w:tcW w:w="1743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Peewee</w:t>
            </w:r>
          </w:p>
        </w:tc>
        <w:tc>
          <w:tcPr>
            <w:tcW w:w="1230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</w:t>
            </w:r>
          </w:p>
        </w:tc>
        <w:tc>
          <w:tcPr>
            <w:tcW w:w="1844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$500.00</w:t>
            </w:r>
          </w:p>
        </w:tc>
        <w:tc>
          <w:tcPr>
            <w:tcW w:w="2108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$450.00</w:t>
            </w:r>
          </w:p>
        </w:tc>
        <w:tc>
          <w:tcPr>
            <w:tcW w:w="2108" w:type="dxa"/>
            <w:vAlign w:val="center"/>
          </w:tcPr>
          <w:p w:rsidR="00AE0CE6" w:rsidRPr="00AE0CE6" w:rsidRDefault="001907BE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$600.00</w:t>
            </w:r>
          </w:p>
        </w:tc>
        <w:tc>
          <w:tcPr>
            <w:tcW w:w="1844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$225.00</w:t>
            </w:r>
          </w:p>
        </w:tc>
      </w:tr>
      <w:tr w:rsidR="00AE0CE6" w:rsidTr="00AE0CE6">
        <w:trPr>
          <w:trHeight w:val="562"/>
        </w:trPr>
        <w:tc>
          <w:tcPr>
            <w:tcW w:w="1743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Bantam</w:t>
            </w:r>
          </w:p>
        </w:tc>
        <w:tc>
          <w:tcPr>
            <w:tcW w:w="1230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13-14</w:t>
            </w:r>
          </w:p>
        </w:tc>
        <w:tc>
          <w:tcPr>
            <w:tcW w:w="1844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$550.00</w:t>
            </w:r>
          </w:p>
        </w:tc>
        <w:tc>
          <w:tcPr>
            <w:tcW w:w="2108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$500.00</w:t>
            </w:r>
          </w:p>
        </w:tc>
        <w:tc>
          <w:tcPr>
            <w:tcW w:w="2108" w:type="dxa"/>
            <w:vAlign w:val="center"/>
          </w:tcPr>
          <w:p w:rsidR="00AE0CE6" w:rsidRPr="00AE0CE6" w:rsidRDefault="001907BE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$65</w:t>
            </w:r>
            <w:r w:rsidR="00AE0CE6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844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$250.00</w:t>
            </w:r>
          </w:p>
        </w:tc>
      </w:tr>
      <w:tr w:rsidR="00AE0CE6" w:rsidTr="00AE0CE6">
        <w:trPr>
          <w:trHeight w:val="562"/>
        </w:trPr>
        <w:tc>
          <w:tcPr>
            <w:tcW w:w="1743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Midget</w:t>
            </w:r>
          </w:p>
        </w:tc>
        <w:tc>
          <w:tcPr>
            <w:tcW w:w="1230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15-17</w:t>
            </w:r>
          </w:p>
        </w:tc>
        <w:tc>
          <w:tcPr>
            <w:tcW w:w="1844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$600.00</w:t>
            </w:r>
          </w:p>
        </w:tc>
        <w:tc>
          <w:tcPr>
            <w:tcW w:w="2108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$550.00</w:t>
            </w:r>
          </w:p>
        </w:tc>
        <w:tc>
          <w:tcPr>
            <w:tcW w:w="2108" w:type="dxa"/>
            <w:vAlign w:val="center"/>
          </w:tcPr>
          <w:p w:rsidR="00AE0CE6" w:rsidRPr="00AE0CE6" w:rsidRDefault="001907BE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$700</w:t>
            </w:r>
            <w:r w:rsidR="00AE0CE6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844" w:type="dxa"/>
            <w:vAlign w:val="center"/>
          </w:tcPr>
          <w:p w:rsidR="00AE0CE6" w:rsidRPr="00AE0CE6" w:rsidRDefault="00AE0CE6" w:rsidP="00AE0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$275.00</w:t>
            </w:r>
          </w:p>
        </w:tc>
      </w:tr>
    </w:tbl>
    <w:p w:rsidR="000217C2" w:rsidRPr="00A71FD0" w:rsidRDefault="000217C2" w:rsidP="000217C2">
      <w:pPr>
        <w:jc w:val="center"/>
        <w:rPr>
          <w:sz w:val="28"/>
          <w:szCs w:val="28"/>
        </w:rPr>
      </w:pPr>
      <w:r w:rsidRPr="00A71FD0">
        <w:rPr>
          <w:sz w:val="28"/>
          <w:szCs w:val="28"/>
        </w:rPr>
        <w:t>*A $50.00 discount will be given to players registering prior to June 30</w:t>
      </w:r>
      <w:r w:rsidRPr="00A71FD0">
        <w:rPr>
          <w:sz w:val="28"/>
          <w:szCs w:val="28"/>
          <w:vertAlign w:val="superscript"/>
        </w:rPr>
        <w:t>th</w:t>
      </w:r>
      <w:r w:rsidRPr="00A71FD0">
        <w:rPr>
          <w:sz w:val="28"/>
          <w:szCs w:val="28"/>
        </w:rPr>
        <w:t>.</w:t>
      </w:r>
    </w:p>
    <w:p w:rsidR="000217C2" w:rsidRPr="00A71FD0" w:rsidRDefault="000217C2" w:rsidP="00EC6D6A">
      <w:pPr>
        <w:jc w:val="center"/>
        <w:rPr>
          <w:sz w:val="28"/>
          <w:szCs w:val="28"/>
        </w:rPr>
      </w:pPr>
      <w:r w:rsidRPr="00A71FD0">
        <w:rPr>
          <w:sz w:val="28"/>
          <w:szCs w:val="28"/>
        </w:rPr>
        <w:t>** A deposit of half of the discounted fee is required at time of registration. The remaining half must be paid in full by October 31</w:t>
      </w:r>
      <w:r w:rsidRPr="00A71FD0">
        <w:rPr>
          <w:sz w:val="28"/>
          <w:szCs w:val="28"/>
          <w:vertAlign w:val="superscript"/>
        </w:rPr>
        <w:t>st</w:t>
      </w:r>
      <w:r w:rsidRPr="00A71FD0">
        <w:rPr>
          <w:sz w:val="28"/>
          <w:szCs w:val="28"/>
        </w:rPr>
        <w:t xml:space="preserve"> of the current season.</w:t>
      </w:r>
      <w:r w:rsidR="00A71FD0" w:rsidRPr="00A71FD0">
        <w:rPr>
          <w:sz w:val="28"/>
          <w:szCs w:val="28"/>
        </w:rPr>
        <w:t xml:space="preserve"> </w:t>
      </w:r>
    </w:p>
    <w:p w:rsidR="000217C2" w:rsidRPr="00A71FD0" w:rsidRDefault="001907BE" w:rsidP="00EC6D6A">
      <w:pPr>
        <w:jc w:val="center"/>
        <w:rPr>
          <w:sz w:val="28"/>
          <w:szCs w:val="28"/>
        </w:rPr>
      </w:pPr>
      <w:r>
        <w:rPr>
          <w:sz w:val="28"/>
          <w:szCs w:val="28"/>
        </w:rPr>
        <w:t>*** A $10</w:t>
      </w:r>
      <w:r w:rsidR="000217C2" w:rsidRPr="00A71FD0">
        <w:rPr>
          <w:sz w:val="28"/>
          <w:szCs w:val="28"/>
        </w:rPr>
        <w:t>0.00 late fee will be charged to any returning players registering after September 1</w:t>
      </w:r>
      <w:r w:rsidR="000217C2" w:rsidRPr="00A71FD0">
        <w:rPr>
          <w:sz w:val="28"/>
          <w:szCs w:val="28"/>
          <w:vertAlign w:val="superscript"/>
        </w:rPr>
        <w:t>st</w:t>
      </w:r>
      <w:r w:rsidR="000217C2" w:rsidRPr="00A71FD0">
        <w:rPr>
          <w:sz w:val="28"/>
          <w:szCs w:val="28"/>
        </w:rPr>
        <w:t>.</w:t>
      </w:r>
    </w:p>
    <w:p w:rsidR="000217C2" w:rsidRDefault="000217C2" w:rsidP="000217C2">
      <w:pPr>
        <w:jc w:val="center"/>
        <w:rPr>
          <w:sz w:val="28"/>
          <w:szCs w:val="28"/>
        </w:rPr>
      </w:pPr>
      <w:r w:rsidRPr="00A71FD0">
        <w:rPr>
          <w:sz w:val="28"/>
          <w:szCs w:val="28"/>
        </w:rPr>
        <w:t xml:space="preserve">Payment plans are also available with post-dated cheques at early registration. Cheques will </w:t>
      </w:r>
      <w:r w:rsidR="00A71FD0" w:rsidRPr="00A71FD0">
        <w:rPr>
          <w:sz w:val="28"/>
          <w:szCs w:val="28"/>
        </w:rPr>
        <w:t xml:space="preserve">need to </w:t>
      </w:r>
      <w:r w:rsidRPr="00A71FD0">
        <w:rPr>
          <w:sz w:val="28"/>
          <w:szCs w:val="28"/>
        </w:rPr>
        <w:t>be dated for June 30, Ju</w:t>
      </w:r>
      <w:r w:rsidR="00A71FD0" w:rsidRPr="00A71FD0">
        <w:rPr>
          <w:sz w:val="28"/>
          <w:szCs w:val="28"/>
        </w:rPr>
        <w:t>ly 31, August 31</w:t>
      </w:r>
      <w:r w:rsidRPr="00A71FD0">
        <w:rPr>
          <w:sz w:val="28"/>
          <w:szCs w:val="28"/>
        </w:rPr>
        <w:t xml:space="preserve">, September </w:t>
      </w:r>
      <w:r w:rsidR="00A71FD0" w:rsidRPr="00A71FD0">
        <w:rPr>
          <w:sz w:val="28"/>
          <w:szCs w:val="28"/>
        </w:rPr>
        <w:t>30 and October 31.</w:t>
      </w:r>
    </w:p>
    <w:p w:rsidR="00A71FD0" w:rsidRDefault="00A71FD0" w:rsidP="00B431D1">
      <w:pPr>
        <w:rPr>
          <w:b/>
          <w:sz w:val="36"/>
          <w:szCs w:val="36"/>
          <w:u w:val="single"/>
        </w:rPr>
      </w:pPr>
      <w:r w:rsidRPr="00A71FD0">
        <w:rPr>
          <w:b/>
          <w:sz w:val="36"/>
          <w:szCs w:val="36"/>
          <w:u w:val="single"/>
        </w:rPr>
        <w:t>The following fundraising duties and deposit fees are MANDATORY:</w:t>
      </w:r>
    </w:p>
    <w:p w:rsidR="00A71FD0" w:rsidRDefault="00B431D1" w:rsidP="00B431D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BINGO – </w:t>
      </w:r>
      <w:r w:rsidRPr="00B431D1">
        <w:rPr>
          <w:sz w:val="28"/>
          <w:szCs w:val="28"/>
        </w:rPr>
        <w:t>work one per player</w:t>
      </w:r>
    </w:p>
    <w:p w:rsidR="00B431D1" w:rsidRPr="00B431D1" w:rsidRDefault="00B431D1" w:rsidP="00B431D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431D1">
        <w:rPr>
          <w:b/>
          <w:sz w:val="28"/>
          <w:szCs w:val="28"/>
        </w:rPr>
        <w:t>50/50’s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are mandatory during home games with proceeds going to EPMH</w:t>
      </w:r>
    </w:p>
    <w:p w:rsidR="00B431D1" w:rsidRPr="00384429" w:rsidRDefault="00B431D1" w:rsidP="00B431D1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Concession Shifts – </w:t>
      </w:r>
      <w:r>
        <w:rPr>
          <w:sz w:val="28"/>
          <w:szCs w:val="28"/>
        </w:rPr>
        <w:t>during home games and tournaments are mandatory. These shifts will be arranged by your team manager.</w:t>
      </w:r>
    </w:p>
    <w:p w:rsidR="00384429" w:rsidRPr="00B431D1" w:rsidRDefault="00384429" w:rsidP="00B431D1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Fundraiser- </w:t>
      </w:r>
      <w:r>
        <w:rPr>
          <w:sz w:val="28"/>
          <w:szCs w:val="28"/>
        </w:rPr>
        <w:t>each family is required to sell. The fundraiser helps keep fees low.</w:t>
      </w:r>
    </w:p>
    <w:p w:rsidR="00B431D1" w:rsidRPr="00B431D1" w:rsidRDefault="00B431D1" w:rsidP="00B431D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Uniform Deposit- </w:t>
      </w:r>
      <w:r>
        <w:rPr>
          <w:sz w:val="28"/>
          <w:szCs w:val="28"/>
        </w:rPr>
        <w:t>all members are required to provide a $250 undated, signed uniform deposit cheque. If the jersey is damaged or not returned the cheque will be deposited.</w:t>
      </w:r>
    </w:p>
    <w:p w:rsidR="00B431D1" w:rsidRPr="00384429" w:rsidRDefault="00B431D1" w:rsidP="00B431D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$300 Volunteer Deposit</w:t>
      </w:r>
      <w:r w:rsidR="00384429">
        <w:rPr>
          <w:b/>
          <w:sz w:val="28"/>
          <w:szCs w:val="28"/>
        </w:rPr>
        <w:t xml:space="preserve">- </w:t>
      </w:r>
      <w:r w:rsidR="00384429">
        <w:rPr>
          <w:sz w:val="28"/>
          <w:szCs w:val="28"/>
        </w:rPr>
        <w:t>all members are required to provide a $300 undated, signed volunteer deposit cheque. This cheque will be DEPOSITED should members not fulfill volunteer responsibilities.</w:t>
      </w:r>
    </w:p>
    <w:p w:rsidR="00384429" w:rsidRPr="001662D4" w:rsidRDefault="00384429" w:rsidP="00B431D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REPECT IN SPORT PARENT- </w:t>
      </w:r>
      <w:r>
        <w:rPr>
          <w:sz w:val="28"/>
          <w:szCs w:val="28"/>
        </w:rPr>
        <w:t xml:space="preserve">This is a </w:t>
      </w:r>
      <w:r w:rsidR="001907BE" w:rsidRPr="001907BE">
        <w:rPr>
          <w:b/>
          <w:sz w:val="28"/>
          <w:szCs w:val="28"/>
          <w:u w:val="single"/>
        </w:rPr>
        <w:t>MANDATORY</w:t>
      </w:r>
      <w:r>
        <w:rPr>
          <w:sz w:val="28"/>
          <w:szCs w:val="28"/>
        </w:rPr>
        <w:t xml:space="preserve"> online course that must be completed by </w:t>
      </w:r>
      <w:r w:rsidRPr="001907BE">
        <w:rPr>
          <w:b/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 parent before your child can be registered with HCR. Parents are </w:t>
      </w:r>
      <w:r w:rsidR="001662D4">
        <w:rPr>
          <w:sz w:val="28"/>
          <w:szCs w:val="28"/>
        </w:rPr>
        <w:t>requi</w:t>
      </w:r>
      <w:r w:rsidR="001907BE">
        <w:rPr>
          <w:sz w:val="28"/>
          <w:szCs w:val="28"/>
        </w:rPr>
        <w:t>red to pay the course fee which in the past was roughly $12.00</w:t>
      </w:r>
    </w:p>
    <w:p w:rsidR="001662D4" w:rsidRPr="00B431D1" w:rsidRDefault="001662D4" w:rsidP="001662D4">
      <w:pPr>
        <w:pStyle w:val="ListParagraph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TURN</w:t>
      </w:r>
    </w:p>
    <w:p w:rsidR="00A71FD0" w:rsidRPr="00A71FD0" w:rsidRDefault="00A71FD0" w:rsidP="000217C2">
      <w:pPr>
        <w:jc w:val="center"/>
        <w:rPr>
          <w:b/>
          <w:sz w:val="36"/>
          <w:szCs w:val="36"/>
          <w:u w:val="single"/>
        </w:rPr>
      </w:pPr>
    </w:p>
    <w:p w:rsidR="00A71FD0" w:rsidRPr="000217C2" w:rsidRDefault="00A71FD0" w:rsidP="000217C2">
      <w:pPr>
        <w:jc w:val="center"/>
        <w:rPr>
          <w:b/>
          <w:sz w:val="28"/>
          <w:szCs w:val="28"/>
        </w:rPr>
      </w:pPr>
    </w:p>
    <w:p w:rsidR="00EC6D6A" w:rsidRDefault="001662D4" w:rsidP="00EC6D6A">
      <w:pPr>
        <w:jc w:val="center"/>
        <w:rPr>
          <w:b/>
          <w:sz w:val="28"/>
          <w:szCs w:val="28"/>
        </w:rPr>
      </w:pPr>
      <w:r w:rsidRPr="001662D4">
        <w:rPr>
          <w:b/>
          <w:sz w:val="28"/>
          <w:szCs w:val="28"/>
        </w:rPr>
        <w:t xml:space="preserve">Please note players are required to register in their home association </w:t>
      </w:r>
      <w:r w:rsidR="00B65FE3">
        <w:rPr>
          <w:b/>
          <w:sz w:val="28"/>
          <w:szCs w:val="28"/>
        </w:rPr>
        <w:t xml:space="preserve">as per HCR </w:t>
      </w:r>
      <w:r w:rsidRPr="001662D4">
        <w:rPr>
          <w:b/>
          <w:sz w:val="28"/>
          <w:szCs w:val="28"/>
        </w:rPr>
        <w:t xml:space="preserve">before any release will be given. Releases will only be given in accordance to EPMH release policy as stated in the Parent Handbook available online at </w:t>
      </w:r>
      <w:hyperlink r:id="rId7" w:history="1">
        <w:r w:rsidRPr="001662D4">
          <w:rPr>
            <w:rStyle w:val="Hyperlink"/>
            <w:b/>
            <w:sz w:val="28"/>
            <w:szCs w:val="28"/>
          </w:rPr>
          <w:t>www.elkpointminorhockey.com</w:t>
        </w:r>
      </w:hyperlink>
      <w:r w:rsidRPr="001662D4">
        <w:rPr>
          <w:b/>
          <w:sz w:val="28"/>
          <w:szCs w:val="28"/>
        </w:rPr>
        <w:t xml:space="preserve"> under </w:t>
      </w:r>
      <w:r>
        <w:rPr>
          <w:b/>
          <w:sz w:val="28"/>
          <w:szCs w:val="28"/>
        </w:rPr>
        <w:t>EPMH Bylaws.</w:t>
      </w:r>
    </w:p>
    <w:p w:rsidR="001662D4" w:rsidRDefault="001662D4" w:rsidP="00EC6D6A">
      <w:pPr>
        <w:jc w:val="center"/>
        <w:rPr>
          <w:b/>
          <w:sz w:val="28"/>
          <w:szCs w:val="28"/>
        </w:rPr>
      </w:pPr>
    </w:p>
    <w:p w:rsidR="001662D4" w:rsidRPr="00B65FE3" w:rsidRDefault="001662D4" w:rsidP="00EC6D6A">
      <w:pPr>
        <w:jc w:val="center"/>
        <w:rPr>
          <w:b/>
          <w:sz w:val="28"/>
          <w:szCs w:val="28"/>
          <w:highlight w:val="yellow"/>
        </w:rPr>
      </w:pPr>
      <w:r w:rsidRPr="00B65FE3">
        <w:rPr>
          <w:b/>
          <w:sz w:val="28"/>
          <w:szCs w:val="28"/>
          <w:highlight w:val="yellow"/>
        </w:rPr>
        <w:t>***** Returning Bantam and Midget players, including players returning from playing in another association must be register in full by August 15</w:t>
      </w:r>
      <w:r w:rsidRPr="00B65FE3">
        <w:rPr>
          <w:b/>
          <w:sz w:val="28"/>
          <w:szCs w:val="28"/>
          <w:highlight w:val="yellow"/>
          <w:vertAlign w:val="superscript"/>
        </w:rPr>
        <w:t>th</w:t>
      </w:r>
      <w:r w:rsidRPr="00B65FE3">
        <w:rPr>
          <w:b/>
          <w:sz w:val="28"/>
          <w:szCs w:val="28"/>
          <w:highlight w:val="yellow"/>
        </w:rPr>
        <w:t>. This allows EPMH time to determine if we have enough players in these divisions to make a team.</w:t>
      </w:r>
    </w:p>
    <w:p w:rsidR="00B65FE3" w:rsidRDefault="00B65FE3" w:rsidP="00EC6D6A">
      <w:pPr>
        <w:jc w:val="center"/>
        <w:rPr>
          <w:b/>
          <w:sz w:val="28"/>
          <w:szCs w:val="28"/>
        </w:rPr>
      </w:pPr>
      <w:r w:rsidRPr="00B65FE3">
        <w:rPr>
          <w:b/>
          <w:sz w:val="28"/>
          <w:szCs w:val="28"/>
          <w:highlight w:val="yellow"/>
        </w:rPr>
        <w:t>Permission to tryout forms will not be granted until October 31</w:t>
      </w:r>
      <w:r w:rsidRPr="00B65FE3">
        <w:rPr>
          <w:b/>
          <w:sz w:val="28"/>
          <w:szCs w:val="28"/>
          <w:highlight w:val="yellow"/>
          <w:vertAlign w:val="superscript"/>
        </w:rPr>
        <w:t>st</w:t>
      </w:r>
      <w:r w:rsidRPr="00B65FE3">
        <w:rPr>
          <w:b/>
          <w:sz w:val="28"/>
          <w:szCs w:val="28"/>
          <w:highlight w:val="yellow"/>
        </w:rPr>
        <w:t>, should registration not be completed by August 15</w:t>
      </w:r>
      <w:r w:rsidRPr="00B65FE3">
        <w:rPr>
          <w:b/>
          <w:sz w:val="28"/>
          <w:szCs w:val="28"/>
          <w:highlight w:val="yellow"/>
          <w:vertAlign w:val="superscript"/>
        </w:rPr>
        <w:t>th</w:t>
      </w:r>
      <w:r w:rsidRPr="00B65FE3">
        <w:rPr>
          <w:b/>
          <w:sz w:val="28"/>
          <w:szCs w:val="28"/>
          <w:highlight w:val="yellow"/>
        </w:rPr>
        <w:t>. *****</w:t>
      </w:r>
    </w:p>
    <w:p w:rsidR="001662D4" w:rsidRPr="001662D4" w:rsidRDefault="001662D4" w:rsidP="00EC6D6A">
      <w:pPr>
        <w:jc w:val="center"/>
        <w:rPr>
          <w:b/>
          <w:sz w:val="28"/>
          <w:szCs w:val="28"/>
        </w:rPr>
      </w:pPr>
    </w:p>
    <w:sectPr w:rsidR="001662D4" w:rsidRPr="001662D4" w:rsidSect="00EC6D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06"/>
    <w:multiLevelType w:val="hybridMultilevel"/>
    <w:tmpl w:val="27A657E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6A"/>
    <w:rsid w:val="000217C2"/>
    <w:rsid w:val="000E4349"/>
    <w:rsid w:val="001662D4"/>
    <w:rsid w:val="001907BE"/>
    <w:rsid w:val="00384429"/>
    <w:rsid w:val="00791EDC"/>
    <w:rsid w:val="00A71FD0"/>
    <w:rsid w:val="00AE0CE6"/>
    <w:rsid w:val="00B431D1"/>
    <w:rsid w:val="00B65FE3"/>
    <w:rsid w:val="00E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2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kpointminorhocke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BB17-CF58-4549-805A-844D8AC3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Bendixen</dc:creator>
  <cp:lastModifiedBy>Lori</cp:lastModifiedBy>
  <cp:revision>2</cp:revision>
  <dcterms:created xsi:type="dcterms:W3CDTF">2017-06-05T20:09:00Z</dcterms:created>
  <dcterms:modified xsi:type="dcterms:W3CDTF">2017-06-05T20:09:00Z</dcterms:modified>
</cp:coreProperties>
</file>