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52" w:rsidRDefault="009C2C52" w:rsidP="009C2C52">
      <w:pPr>
        <w:spacing w:line="259" w:lineRule="auto"/>
        <w:ind w:left="-588" w:right="133" w:firstLine="0"/>
        <w:jc w:val="right"/>
      </w:pPr>
      <w:r>
        <w:rPr>
          <w:rFonts w:ascii="Arial" w:eastAsia="Arial" w:hAnsi="Arial" w:cs="Arial"/>
          <w:b/>
          <w:sz w:val="40"/>
        </w:rPr>
        <w:t xml:space="preserve">  </w:t>
      </w:r>
      <w:r w:rsidRPr="009C2C52">
        <w:rPr>
          <w:noProof/>
        </w:rPr>
        <w:drawing>
          <wp:inline distT="0" distB="0" distL="0" distR="0" wp14:anchorId="1F55359B" wp14:editId="22F63694">
            <wp:extent cx="1085850" cy="1283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0" cy="13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                          </w:t>
      </w:r>
      <w:r>
        <w:rPr>
          <w:b/>
          <w:sz w:val="40"/>
        </w:rPr>
        <w:t xml:space="preserve">Zero Tolerance Standard </w:t>
      </w:r>
    </w:p>
    <w:p w:rsidR="009C2C52" w:rsidRDefault="009C2C52" w:rsidP="009C2C52">
      <w:pPr>
        <w:spacing w:line="259" w:lineRule="auto"/>
        <w:ind w:left="1499" w:firstLine="0"/>
        <w:jc w:val="center"/>
      </w:pPr>
      <w:r>
        <w:rPr>
          <w:b/>
          <w:sz w:val="40"/>
        </w:rP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ind w:left="-5"/>
      </w:pPr>
      <w:r>
        <w:t xml:space="preserve">Issues of inappropriate behavior in minor lacrosse is a growing concern. </w:t>
      </w:r>
      <w:r>
        <w:rPr>
          <w:rFonts w:ascii="Arial" w:eastAsia="Arial" w:hAnsi="Arial" w:cs="Arial"/>
        </w:rPr>
        <w:t xml:space="preserve"> </w:t>
      </w:r>
      <w:r>
        <w:t>These guidelines are designed to remind all players, coaches, officials, league officials, parents and spectators to maintain a sportsmanlike and respectful atmosphere before, during and after all lacrosse related events.</w:t>
      </w:r>
      <w:r>
        <w:rPr>
          <w:rFonts w:ascii="Arial" w:eastAsia="Arial" w:hAnsi="Arial" w:cs="Arial"/>
        </w:rP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  <w:bookmarkStart w:id="0" w:name="_GoBack"/>
      <w:bookmarkEnd w:id="0"/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ind w:left="-5"/>
      </w:pPr>
      <w:r>
        <w:t xml:space="preserve">Working together we can minimize these negative behaviors.  Coaches, team managers, parents and spectators can be positive role models by setting an example for others.  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ind w:left="-5"/>
      </w:pPr>
      <w:r>
        <w:t xml:space="preserve">Violators may be subject to disciplinary action by the CDLA Discipline Committee. </w:t>
      </w:r>
    </w:p>
    <w:p w:rsidR="009C2C52" w:rsidRDefault="009C2C52" w:rsidP="009C2C52">
      <w:pPr>
        <w:ind w:left="-5"/>
      </w:pPr>
      <w:r>
        <w:t xml:space="preserve">Inappropriate or disruptive behavior shall include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numPr>
          <w:ilvl w:val="0"/>
          <w:numId w:val="1"/>
        </w:numPr>
        <w:ind w:hanging="360"/>
      </w:pPr>
      <w:r>
        <w:t xml:space="preserve">Use of obscene or vulgar language in a boisterous manner to anyone at any time; </w:t>
      </w:r>
    </w:p>
    <w:p w:rsidR="009C2C52" w:rsidRDefault="009C2C52" w:rsidP="009C2C52">
      <w:pPr>
        <w:numPr>
          <w:ilvl w:val="0"/>
          <w:numId w:val="1"/>
        </w:numPr>
        <w:ind w:hanging="360"/>
      </w:pPr>
      <w:r>
        <w:t xml:space="preserve">Taunting of players, coaches, officials, or other spectators by means of baiting, ridiculing or threat of physical violence;  </w:t>
      </w:r>
    </w:p>
    <w:p w:rsidR="009C2C52" w:rsidRDefault="009C2C52" w:rsidP="009C2C52">
      <w:pPr>
        <w:numPr>
          <w:ilvl w:val="0"/>
          <w:numId w:val="1"/>
        </w:numPr>
        <w:ind w:hanging="360"/>
      </w:pPr>
      <w:r>
        <w:t xml:space="preserve">Any actions that inhibits the viewing pleasure of other spectators; </w:t>
      </w:r>
    </w:p>
    <w:p w:rsidR="009C2C52" w:rsidRDefault="009C2C52" w:rsidP="009C2C52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3E1E5" wp14:editId="764DFBBC">
                <wp:simplePos x="0" y="0"/>
                <wp:positionH relativeFrom="page">
                  <wp:posOffset>6867144</wp:posOffset>
                </wp:positionH>
                <wp:positionV relativeFrom="page">
                  <wp:posOffset>9450324</wp:posOffset>
                </wp:positionV>
                <wp:extent cx="76200" cy="597408"/>
                <wp:effectExtent l="0" t="0" r="0" b="0"/>
                <wp:wrapSquare wrapText="bothSides"/>
                <wp:docPr id="660" name="Group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597408"/>
                          <a:chOff x="0" y="0"/>
                          <a:chExt cx="76200" cy="5974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0"/>
                                </a:moveTo>
                                <a:lnTo>
                                  <a:pt x="0" y="5974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E80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100" y="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0"/>
                                </a:moveTo>
                                <a:lnTo>
                                  <a:pt x="0" y="5974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E80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200" y="0"/>
                            <a:ext cx="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8">
                                <a:moveTo>
                                  <a:pt x="0" y="0"/>
                                </a:moveTo>
                                <a:lnTo>
                                  <a:pt x="0" y="5974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4E80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9E33C" id="Group 660" o:spid="_x0000_s1026" style="position:absolute;margin-left:540.7pt;margin-top:744.1pt;width:6pt;height:47.05pt;z-index:251659264;mso-position-horizontal-relative:page;mso-position-vertical-relative:page" coordsize="762,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">
                <v:shape id="Shape 7" o:spid="_x0000_s1027" style="position:absolute;width:0;height:5974;visibility:visible;mso-wrap-style:square;v-text-anchor:top" coordsize="0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" path="m,l,597408e" filled="f" strokecolor="#4e80bd">
                  <v:stroke endcap="round"/>
                  <v:path arrowok="t" textboxrect="0,0,0,597408"/>
                </v:shape>
                <v:shape id="Shape 8" o:spid="_x0000_s1028" style="position:absolute;left:381;width:0;height:5974;visibility:visible;mso-wrap-style:square;v-text-anchor:top" coordsize="0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" path="m,l,597408e" filled="f" strokecolor="#4e80bd">
                  <v:stroke endcap="round"/>
                  <v:path arrowok="t" textboxrect="0,0,0,597408"/>
                </v:shape>
                <v:shape id="Shape 9" o:spid="_x0000_s1029" style="position:absolute;left:762;width:0;height:5974;visibility:visible;mso-wrap-style:square;v-text-anchor:top" coordsize="0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" path="m,l,597408e" filled="f" strokecolor="#4e80bd">
                  <v:stroke endcap="round"/>
                  <v:path arrowok="t" textboxrect="0,0,0,597408"/>
                </v:shape>
                <w10:wrap type="square" anchorx="page" anchory="page"/>
              </v:group>
            </w:pict>
          </mc:Fallback>
        </mc:AlternateContent>
      </w:r>
      <w:r>
        <w:t xml:space="preserve">Throwing of any object in the spectators’ viewing area, player’s bench, penalty box or on the playing surface, directed in any manner as to create a safety hazard; or </w:t>
      </w:r>
    </w:p>
    <w:p w:rsidR="009C2C52" w:rsidRDefault="009C2C52" w:rsidP="009C2C52">
      <w:pPr>
        <w:numPr>
          <w:ilvl w:val="0"/>
          <w:numId w:val="1"/>
        </w:numPr>
        <w:ind w:hanging="360"/>
      </w:pPr>
      <w:r>
        <w:t xml:space="preserve">Unwarranted or unwanted physical contact.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ind w:left="-5"/>
      </w:pPr>
      <w:r>
        <w:t xml:space="preserve">Sanctions may be placed on any offending individual that could include game or seasonal suspensions, educational or referee training courses.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spacing w:line="259" w:lineRule="auto"/>
        <w:ind w:left="0" w:firstLine="0"/>
      </w:pPr>
      <w:r>
        <w:t xml:space="preserve"> </w:t>
      </w:r>
    </w:p>
    <w:p w:rsidR="009C2C52" w:rsidRDefault="009C2C52" w:rsidP="009C2C52">
      <w:pPr>
        <w:ind w:left="-5"/>
      </w:pPr>
      <w:r>
        <w:t xml:space="preserve">You, and only you, are responsible for your actions.  If you feel yourself crossing the line take action by removing yourself from the situation. </w:t>
      </w:r>
    </w:p>
    <w:p w:rsidR="00E6721D" w:rsidRDefault="00E6721D"/>
    <w:p w:rsidR="009C2C52" w:rsidRDefault="009C2C52" w:rsidP="009C2C52">
      <w:pPr>
        <w:tabs>
          <w:tab w:val="right" w:pos="9323"/>
        </w:tabs>
        <w:spacing w:line="259" w:lineRule="auto"/>
        <w:ind w:left="0" w:firstLine="0"/>
      </w:pPr>
      <w:r>
        <w:rPr>
          <w:sz w:val="20"/>
        </w:rPr>
        <w:tab/>
      </w:r>
      <w:r>
        <w:rPr>
          <w:sz w:val="20"/>
        </w:rPr>
        <w:t xml:space="preserve">ALA Rule and Regulation 25 </w:t>
      </w:r>
    </w:p>
    <w:p w:rsidR="009C2C52" w:rsidRDefault="009C2C52" w:rsidP="009C2C52">
      <w:pPr>
        <w:spacing w:after="3" w:line="259" w:lineRule="auto"/>
        <w:ind w:right="102"/>
        <w:jc w:val="right"/>
      </w:pPr>
      <w:r>
        <w:rPr>
          <w:sz w:val="20"/>
        </w:rPr>
        <w:t xml:space="preserve">CDLA Rule and Regulation Section 2 – Disciplinary Guidelines  </w:t>
      </w:r>
    </w:p>
    <w:p w:rsidR="009C2C52" w:rsidRDefault="009C2C52" w:rsidP="009C2C52">
      <w:pPr>
        <w:spacing w:after="3" w:line="259" w:lineRule="auto"/>
        <w:ind w:right="102"/>
        <w:jc w:val="right"/>
      </w:pPr>
      <w:r>
        <w:rPr>
          <w:sz w:val="20"/>
        </w:rPr>
        <w:t>ALA Bylaw 11.01.2</w:t>
      </w:r>
      <w:r>
        <w:rPr>
          <w:b/>
          <w:sz w:val="20"/>
        </w:rPr>
        <w:t xml:space="preserve"> </w:t>
      </w:r>
    </w:p>
    <w:p w:rsidR="009C2C52" w:rsidRDefault="009C2C52" w:rsidP="009C2C52">
      <w:pPr>
        <w:spacing w:after="3" w:line="259" w:lineRule="auto"/>
        <w:ind w:right="102"/>
        <w:jc w:val="right"/>
      </w:pPr>
      <w:r>
        <w:rPr>
          <w:sz w:val="20"/>
        </w:rPr>
        <w:t xml:space="preserve">CLA Situational Handbook – situation 28 </w:t>
      </w:r>
    </w:p>
    <w:p w:rsidR="009C2C52" w:rsidRDefault="009C2C52"/>
    <w:sectPr w:rsidR="009C2C52" w:rsidSect="009C2C52">
      <w:headerReference w:type="default" r:id="rId9"/>
      <w:pgSz w:w="12240" w:h="15840"/>
      <w:pgMar w:top="1247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6E" w:rsidRDefault="005D4D6E" w:rsidP="009C2C52">
      <w:pPr>
        <w:spacing w:line="240" w:lineRule="auto"/>
      </w:pPr>
      <w:r>
        <w:separator/>
      </w:r>
    </w:p>
  </w:endnote>
  <w:endnote w:type="continuationSeparator" w:id="0">
    <w:p w:rsidR="005D4D6E" w:rsidRDefault="005D4D6E" w:rsidP="009C2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6E" w:rsidRDefault="005D4D6E" w:rsidP="009C2C52">
      <w:pPr>
        <w:spacing w:line="240" w:lineRule="auto"/>
      </w:pPr>
      <w:r>
        <w:separator/>
      </w:r>
    </w:p>
  </w:footnote>
  <w:footnote w:type="continuationSeparator" w:id="0">
    <w:p w:rsidR="005D4D6E" w:rsidRDefault="005D4D6E" w:rsidP="009C2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52" w:rsidRDefault="009C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1179"/>
    <w:multiLevelType w:val="hybridMultilevel"/>
    <w:tmpl w:val="11CAE012"/>
    <w:lvl w:ilvl="0" w:tplc="B5609A0A">
      <w:start w:val="1"/>
      <w:numFmt w:val="decimal"/>
      <w:lvlText w:val="%1)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B6C4">
      <w:start w:val="1"/>
      <w:numFmt w:val="lowerLetter"/>
      <w:lvlText w:val="%2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2FB66">
      <w:start w:val="1"/>
      <w:numFmt w:val="lowerRoman"/>
      <w:lvlText w:val="%3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64E42">
      <w:start w:val="1"/>
      <w:numFmt w:val="decimal"/>
      <w:lvlText w:val="%4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F06">
      <w:start w:val="1"/>
      <w:numFmt w:val="lowerLetter"/>
      <w:lvlText w:val="%5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9362">
      <w:start w:val="1"/>
      <w:numFmt w:val="lowerRoman"/>
      <w:lvlText w:val="%6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85E22">
      <w:start w:val="1"/>
      <w:numFmt w:val="decimal"/>
      <w:lvlText w:val="%7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71CE">
      <w:start w:val="1"/>
      <w:numFmt w:val="lowerLetter"/>
      <w:lvlText w:val="%8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21EE0">
      <w:start w:val="1"/>
      <w:numFmt w:val="lowerRoman"/>
      <w:lvlText w:val="%9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0"/>
    <w:rsid w:val="00331D80"/>
    <w:rsid w:val="005D4D6E"/>
    <w:rsid w:val="009C2C52"/>
    <w:rsid w:val="00E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A10B"/>
  <w15:chartTrackingRefBased/>
  <w15:docId w15:val="{4088480D-0FC6-4F7F-8D0D-A34F8DC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C52"/>
    <w:pPr>
      <w:spacing w:after="0" w:line="249" w:lineRule="auto"/>
      <w:ind w:left="10" w:hanging="10"/>
    </w:pPr>
    <w:rPr>
      <w:rFonts w:ascii="Trebuchet MS" w:eastAsia="Trebuchet MS" w:hAnsi="Trebuchet MS" w:cs="Trebuchet MS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C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52"/>
    <w:rPr>
      <w:rFonts w:ascii="Trebuchet MS" w:eastAsia="Trebuchet MS" w:hAnsi="Trebuchet MS" w:cs="Trebuchet MS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C2C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52"/>
    <w:rPr>
      <w:rFonts w:ascii="Trebuchet MS" w:eastAsia="Trebuchet MS" w:hAnsi="Trebuchet MS" w:cs="Trebuchet MS"/>
      <w:color w:val="000000"/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52"/>
    <w:rPr>
      <w:rFonts w:ascii="Segoe UI" w:eastAsia="Trebuchet MS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8799-09C1-4986-B69F-28B977A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2</cp:revision>
  <cp:lastPrinted>2017-01-26T21:49:00Z</cp:lastPrinted>
  <dcterms:created xsi:type="dcterms:W3CDTF">2017-01-26T21:41:00Z</dcterms:created>
  <dcterms:modified xsi:type="dcterms:W3CDTF">2017-01-26T21:49:00Z</dcterms:modified>
</cp:coreProperties>
</file>