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1F4AD" w14:textId="2969513A" w:rsidR="00CA12A1" w:rsidRPr="005D5010" w:rsidRDefault="00434B47" w:rsidP="009C77FC">
      <w:pPr>
        <w:spacing w:after="0" w:line="240" w:lineRule="auto"/>
        <w:ind w:left="720" w:right="464"/>
        <w:jc w:val="center"/>
        <w:rPr>
          <w:rFonts w:ascii="Arial" w:hAnsi="Arial" w:cs="Arial"/>
          <w:b/>
          <w:sz w:val="24"/>
          <w:szCs w:val="24"/>
        </w:rPr>
      </w:pPr>
      <w:r w:rsidRPr="00434B47">
        <w:rPr>
          <w:b/>
          <w:sz w:val="28"/>
          <w:szCs w:val="28"/>
          <w:u w:val="single"/>
        </w:rPr>
        <w:br/>
      </w:r>
      <w:r w:rsidR="005D5010">
        <w:rPr>
          <w:rFonts w:ascii="Arial" w:hAnsi="Arial" w:cs="Arial"/>
          <w:b/>
          <w:sz w:val="24"/>
          <w:szCs w:val="24"/>
        </w:rPr>
        <w:t>T</w:t>
      </w:r>
      <w:r w:rsidR="00CA12A1" w:rsidRPr="005D5010">
        <w:rPr>
          <w:rFonts w:ascii="Arial" w:hAnsi="Arial" w:cs="Arial"/>
          <w:b/>
          <w:sz w:val="24"/>
          <w:szCs w:val="24"/>
        </w:rPr>
        <w:t>RA</w:t>
      </w:r>
      <w:r w:rsidR="00CA12A1" w:rsidRPr="005D5010">
        <w:rPr>
          <w:rFonts w:ascii="Arial" w:hAnsi="Arial" w:cs="Arial"/>
          <w:b/>
          <w:spacing w:val="-1"/>
          <w:sz w:val="24"/>
          <w:szCs w:val="24"/>
        </w:rPr>
        <w:t xml:space="preserve"> </w:t>
      </w:r>
      <w:r w:rsidR="00B90211">
        <w:rPr>
          <w:rFonts w:ascii="Arial" w:hAnsi="Arial" w:cs="Arial"/>
          <w:b/>
          <w:spacing w:val="-1"/>
          <w:sz w:val="24"/>
          <w:szCs w:val="24"/>
        </w:rPr>
        <w:t xml:space="preserve">Registration </w:t>
      </w:r>
      <w:r w:rsidR="00702D52">
        <w:rPr>
          <w:rFonts w:ascii="Arial" w:hAnsi="Arial" w:cs="Arial"/>
          <w:b/>
          <w:sz w:val="24"/>
          <w:szCs w:val="24"/>
        </w:rPr>
        <w:t>Refund</w:t>
      </w:r>
      <w:r w:rsidR="00CA12A1" w:rsidRPr="005D5010">
        <w:rPr>
          <w:rFonts w:ascii="Arial" w:hAnsi="Arial" w:cs="Arial"/>
          <w:b/>
          <w:spacing w:val="-16"/>
          <w:sz w:val="24"/>
          <w:szCs w:val="24"/>
        </w:rPr>
        <w:t xml:space="preserve"> </w:t>
      </w:r>
      <w:r w:rsidR="00CA12A1" w:rsidRPr="005D5010">
        <w:rPr>
          <w:rFonts w:ascii="Arial" w:hAnsi="Arial" w:cs="Arial"/>
          <w:b/>
          <w:spacing w:val="-2"/>
          <w:sz w:val="24"/>
          <w:szCs w:val="24"/>
        </w:rPr>
        <w:t>Policy</w:t>
      </w:r>
    </w:p>
    <w:p w14:paraId="273480DE" w14:textId="77777777" w:rsidR="00CA12A1" w:rsidRPr="005D5010" w:rsidRDefault="00CA12A1" w:rsidP="005D5010">
      <w:pPr>
        <w:pStyle w:val="BodyText"/>
        <w:rPr>
          <w:b/>
          <w:sz w:val="24"/>
          <w:szCs w:val="24"/>
        </w:rPr>
      </w:pPr>
    </w:p>
    <w:p w14:paraId="0DACC780" w14:textId="5E7CCC6A" w:rsidR="003A22AF" w:rsidRDefault="00B90211" w:rsidP="009C77FC">
      <w:pPr>
        <w:pStyle w:val="ListParagraph"/>
        <w:widowControl w:val="0"/>
        <w:numPr>
          <w:ilvl w:val="0"/>
          <w:numId w:val="4"/>
        </w:numPr>
        <w:autoSpaceDE w:val="0"/>
        <w:autoSpaceDN w:val="0"/>
        <w:spacing w:after="0" w:line="240" w:lineRule="auto"/>
        <w:ind w:left="2160" w:right="1783"/>
        <w:contextualSpacing w:val="0"/>
        <w:rPr>
          <w:rFonts w:ascii="Arial" w:hAnsi="Arial" w:cs="Arial"/>
          <w:sz w:val="24"/>
          <w:szCs w:val="24"/>
        </w:rPr>
      </w:pPr>
      <w:proofErr w:type="spellStart"/>
      <w:r>
        <w:rPr>
          <w:rFonts w:ascii="Arial" w:hAnsi="Arial" w:cs="Arial"/>
          <w:sz w:val="24"/>
          <w:szCs w:val="24"/>
        </w:rPr>
        <w:t>Transcona</w:t>
      </w:r>
      <w:proofErr w:type="spellEnd"/>
      <w:r>
        <w:rPr>
          <w:rFonts w:ascii="Arial" w:hAnsi="Arial" w:cs="Arial"/>
          <w:sz w:val="24"/>
          <w:szCs w:val="24"/>
        </w:rPr>
        <w:t xml:space="preserve"> Ringette Association will provide full or partial refunds for registration fees for R4U up to U19 if players quit as follows:</w:t>
      </w:r>
    </w:p>
    <w:p w14:paraId="76D327A0" w14:textId="77777777" w:rsidR="00B90211" w:rsidRDefault="00B90211" w:rsidP="00B90211">
      <w:pPr>
        <w:pStyle w:val="ListParagraph"/>
        <w:widowControl w:val="0"/>
        <w:autoSpaceDE w:val="0"/>
        <w:autoSpaceDN w:val="0"/>
        <w:spacing w:after="0" w:line="240" w:lineRule="auto"/>
        <w:ind w:left="2160" w:right="1783"/>
        <w:contextualSpacing w:val="0"/>
        <w:rPr>
          <w:rFonts w:ascii="Arial" w:hAnsi="Arial" w:cs="Arial"/>
          <w:sz w:val="24"/>
          <w:szCs w:val="24"/>
        </w:rPr>
      </w:pPr>
    </w:p>
    <w:p w14:paraId="74BAE648" w14:textId="15018835" w:rsidR="00B90211" w:rsidRDefault="00B90211" w:rsidP="00B90211">
      <w:pPr>
        <w:pStyle w:val="ListParagraph"/>
        <w:widowControl w:val="0"/>
        <w:numPr>
          <w:ilvl w:val="1"/>
          <w:numId w:val="4"/>
        </w:numPr>
        <w:autoSpaceDE w:val="0"/>
        <w:autoSpaceDN w:val="0"/>
        <w:spacing w:after="0" w:line="240" w:lineRule="auto"/>
        <w:ind w:right="1783"/>
        <w:contextualSpacing w:val="0"/>
        <w:rPr>
          <w:rFonts w:ascii="Arial" w:hAnsi="Arial" w:cs="Arial"/>
          <w:sz w:val="24"/>
          <w:szCs w:val="24"/>
        </w:rPr>
      </w:pPr>
      <w:r>
        <w:rPr>
          <w:rFonts w:ascii="Arial" w:hAnsi="Arial" w:cs="Arial"/>
          <w:sz w:val="24"/>
          <w:szCs w:val="24"/>
        </w:rPr>
        <w:t>Prior to the first practice session – Full refund, minus any administration fees incurred in Ramp.</w:t>
      </w:r>
    </w:p>
    <w:p w14:paraId="1DA4252E" w14:textId="07881AE2" w:rsidR="00B90211" w:rsidRDefault="00B90211" w:rsidP="00B90211">
      <w:pPr>
        <w:pStyle w:val="ListParagraph"/>
        <w:widowControl w:val="0"/>
        <w:numPr>
          <w:ilvl w:val="1"/>
          <w:numId w:val="4"/>
        </w:numPr>
        <w:autoSpaceDE w:val="0"/>
        <w:autoSpaceDN w:val="0"/>
        <w:spacing w:after="0" w:line="240" w:lineRule="auto"/>
        <w:ind w:right="1783"/>
        <w:contextualSpacing w:val="0"/>
        <w:rPr>
          <w:rFonts w:ascii="Arial" w:hAnsi="Arial" w:cs="Arial"/>
          <w:sz w:val="24"/>
          <w:szCs w:val="24"/>
        </w:rPr>
      </w:pPr>
      <w:r>
        <w:rPr>
          <w:rFonts w:ascii="Arial" w:hAnsi="Arial" w:cs="Arial"/>
          <w:sz w:val="24"/>
          <w:szCs w:val="24"/>
        </w:rPr>
        <w:t>After the first practice session, but prior to the first scheduled game – 75% refund, minus any administration fees incurred in Ramp.</w:t>
      </w:r>
    </w:p>
    <w:p w14:paraId="58EFEDF1" w14:textId="04C98811" w:rsidR="00B90211" w:rsidRDefault="00B90211" w:rsidP="00B90211">
      <w:pPr>
        <w:pStyle w:val="ListParagraph"/>
        <w:widowControl w:val="0"/>
        <w:numPr>
          <w:ilvl w:val="1"/>
          <w:numId w:val="4"/>
        </w:numPr>
        <w:autoSpaceDE w:val="0"/>
        <w:autoSpaceDN w:val="0"/>
        <w:spacing w:after="0" w:line="240" w:lineRule="auto"/>
        <w:ind w:right="1783"/>
        <w:contextualSpacing w:val="0"/>
        <w:rPr>
          <w:rFonts w:ascii="Arial" w:hAnsi="Arial" w:cs="Arial"/>
          <w:sz w:val="24"/>
          <w:szCs w:val="24"/>
        </w:rPr>
      </w:pPr>
      <w:r>
        <w:rPr>
          <w:rFonts w:ascii="Arial" w:hAnsi="Arial" w:cs="Arial"/>
          <w:sz w:val="24"/>
          <w:szCs w:val="24"/>
        </w:rPr>
        <w:t>After the first scheduled game, but before the conclusion of the first quarter of the schedule – 50% refund, minus any administration fees incurred in Ramp.</w:t>
      </w:r>
    </w:p>
    <w:p w14:paraId="1A031F03" w14:textId="3D758101" w:rsidR="00B90211" w:rsidRDefault="00B90211" w:rsidP="00B90211">
      <w:pPr>
        <w:pStyle w:val="ListParagraph"/>
        <w:widowControl w:val="0"/>
        <w:numPr>
          <w:ilvl w:val="1"/>
          <w:numId w:val="4"/>
        </w:numPr>
        <w:autoSpaceDE w:val="0"/>
        <w:autoSpaceDN w:val="0"/>
        <w:spacing w:after="0" w:line="240" w:lineRule="auto"/>
        <w:ind w:right="1783"/>
        <w:contextualSpacing w:val="0"/>
        <w:rPr>
          <w:rFonts w:ascii="Arial" w:hAnsi="Arial" w:cs="Arial"/>
          <w:sz w:val="24"/>
          <w:szCs w:val="24"/>
        </w:rPr>
      </w:pPr>
      <w:r>
        <w:rPr>
          <w:rFonts w:ascii="Arial" w:hAnsi="Arial" w:cs="Arial"/>
          <w:sz w:val="24"/>
          <w:szCs w:val="24"/>
        </w:rPr>
        <w:t>After conclusion of the first quarter of the schedule – No refund.</w:t>
      </w:r>
    </w:p>
    <w:p w14:paraId="22FE82D7" w14:textId="77777777" w:rsidR="000B1F23" w:rsidRDefault="000B1F23" w:rsidP="000B1F23">
      <w:pPr>
        <w:pStyle w:val="ListParagraph"/>
        <w:widowControl w:val="0"/>
        <w:autoSpaceDE w:val="0"/>
        <w:autoSpaceDN w:val="0"/>
        <w:spacing w:after="0" w:line="240" w:lineRule="auto"/>
        <w:ind w:left="3117" w:right="1783"/>
        <w:contextualSpacing w:val="0"/>
        <w:rPr>
          <w:rFonts w:ascii="Arial" w:hAnsi="Arial" w:cs="Arial"/>
          <w:sz w:val="24"/>
          <w:szCs w:val="24"/>
        </w:rPr>
      </w:pPr>
    </w:p>
    <w:p w14:paraId="30646EA3" w14:textId="099A7453" w:rsidR="000B1F23" w:rsidRPr="009C77FC" w:rsidRDefault="000B1F23" w:rsidP="000B1F23">
      <w:pPr>
        <w:pStyle w:val="ListParagraph"/>
        <w:widowControl w:val="0"/>
        <w:numPr>
          <w:ilvl w:val="0"/>
          <w:numId w:val="4"/>
        </w:numPr>
        <w:autoSpaceDE w:val="0"/>
        <w:autoSpaceDN w:val="0"/>
        <w:spacing w:after="0" w:line="240" w:lineRule="auto"/>
        <w:ind w:right="1783"/>
        <w:contextualSpacing w:val="0"/>
        <w:rPr>
          <w:rFonts w:ascii="Arial" w:hAnsi="Arial" w:cs="Arial"/>
          <w:sz w:val="24"/>
          <w:szCs w:val="24"/>
        </w:rPr>
      </w:pPr>
      <w:r>
        <w:rPr>
          <w:rFonts w:ascii="Arial" w:hAnsi="Arial" w:cs="Arial"/>
          <w:sz w:val="24"/>
          <w:szCs w:val="24"/>
        </w:rPr>
        <w:t xml:space="preserve">For all Open teams, as fees are not billed per player </w:t>
      </w:r>
      <w:r w:rsidR="001651F0">
        <w:rPr>
          <w:rFonts w:ascii="Arial" w:hAnsi="Arial" w:cs="Arial"/>
          <w:sz w:val="24"/>
          <w:szCs w:val="24"/>
        </w:rPr>
        <w:t>but</w:t>
      </w:r>
      <w:bookmarkStart w:id="0" w:name="_GoBack"/>
      <w:bookmarkEnd w:id="0"/>
      <w:r>
        <w:rPr>
          <w:rFonts w:ascii="Arial" w:hAnsi="Arial" w:cs="Arial"/>
          <w:sz w:val="24"/>
          <w:szCs w:val="24"/>
        </w:rPr>
        <w:t xml:space="preserve"> per team, any refunds will need to be provided by the team, not TRA.  Open teams are expected to charge appropriate fees per player based on the total team registration fee.</w:t>
      </w:r>
    </w:p>
    <w:p w14:paraId="6D8BB540" w14:textId="77777777" w:rsidR="009C77FC" w:rsidRPr="009C77FC" w:rsidRDefault="009C77FC" w:rsidP="009C77FC">
      <w:pPr>
        <w:widowControl w:val="0"/>
        <w:autoSpaceDE w:val="0"/>
        <w:autoSpaceDN w:val="0"/>
        <w:spacing w:after="0" w:line="240" w:lineRule="auto"/>
        <w:ind w:right="1783"/>
        <w:rPr>
          <w:rFonts w:ascii="Arial" w:hAnsi="Arial" w:cs="Arial"/>
          <w:sz w:val="24"/>
          <w:szCs w:val="24"/>
        </w:rPr>
      </w:pPr>
    </w:p>
    <w:p w14:paraId="4A203F22" w14:textId="77777777" w:rsidR="005D5010" w:rsidRDefault="005D5010" w:rsidP="005D5010">
      <w:pPr>
        <w:pStyle w:val="ListParagraph"/>
        <w:widowControl w:val="0"/>
        <w:tabs>
          <w:tab w:val="left" w:pos="1677"/>
        </w:tabs>
        <w:autoSpaceDE w:val="0"/>
        <w:autoSpaceDN w:val="0"/>
        <w:spacing w:after="0" w:line="240" w:lineRule="auto"/>
        <w:ind w:left="2397" w:right="1783"/>
        <w:contextualSpacing w:val="0"/>
        <w:rPr>
          <w:rFonts w:ascii="Arial" w:hAnsi="Arial" w:cs="Arial"/>
          <w:spacing w:val="-2"/>
          <w:sz w:val="24"/>
          <w:szCs w:val="24"/>
        </w:rPr>
      </w:pPr>
    </w:p>
    <w:p w14:paraId="5222D351" w14:textId="77777777" w:rsidR="005D5010" w:rsidRDefault="005D5010" w:rsidP="005D5010">
      <w:pPr>
        <w:pStyle w:val="ListParagraph"/>
        <w:widowControl w:val="0"/>
        <w:tabs>
          <w:tab w:val="left" w:pos="1677"/>
        </w:tabs>
        <w:autoSpaceDE w:val="0"/>
        <w:autoSpaceDN w:val="0"/>
        <w:spacing w:after="0" w:line="240" w:lineRule="auto"/>
        <w:ind w:left="2397" w:right="1783"/>
        <w:contextualSpacing w:val="0"/>
        <w:rPr>
          <w:rFonts w:ascii="Arial" w:hAnsi="Arial" w:cs="Arial"/>
          <w:spacing w:val="-2"/>
          <w:sz w:val="24"/>
          <w:szCs w:val="24"/>
        </w:rPr>
      </w:pPr>
    </w:p>
    <w:p w14:paraId="00806028" w14:textId="77777777" w:rsidR="009C77FC" w:rsidRDefault="009C77FC" w:rsidP="005D5010">
      <w:pPr>
        <w:pStyle w:val="ListParagraph"/>
        <w:widowControl w:val="0"/>
        <w:tabs>
          <w:tab w:val="left" w:pos="1677"/>
        </w:tabs>
        <w:autoSpaceDE w:val="0"/>
        <w:autoSpaceDN w:val="0"/>
        <w:spacing w:after="0" w:line="240" w:lineRule="auto"/>
        <w:ind w:left="2397" w:right="1783"/>
        <w:contextualSpacing w:val="0"/>
        <w:rPr>
          <w:rFonts w:ascii="Arial" w:hAnsi="Arial" w:cs="Arial"/>
          <w:spacing w:val="-2"/>
          <w:sz w:val="24"/>
          <w:szCs w:val="24"/>
        </w:rPr>
      </w:pPr>
    </w:p>
    <w:p w14:paraId="038D414A" w14:textId="77777777" w:rsidR="009C77FC" w:rsidRDefault="009C77FC" w:rsidP="005D5010">
      <w:pPr>
        <w:pStyle w:val="ListParagraph"/>
        <w:widowControl w:val="0"/>
        <w:tabs>
          <w:tab w:val="left" w:pos="1677"/>
        </w:tabs>
        <w:autoSpaceDE w:val="0"/>
        <w:autoSpaceDN w:val="0"/>
        <w:spacing w:after="0" w:line="240" w:lineRule="auto"/>
        <w:ind w:left="2397" w:right="1783"/>
        <w:contextualSpacing w:val="0"/>
        <w:rPr>
          <w:rFonts w:ascii="Arial" w:hAnsi="Arial" w:cs="Arial"/>
          <w:spacing w:val="-2"/>
          <w:sz w:val="24"/>
          <w:szCs w:val="24"/>
        </w:rPr>
      </w:pPr>
    </w:p>
    <w:p w14:paraId="1D11ADB5" w14:textId="77777777" w:rsidR="005D5010" w:rsidRDefault="005D5010" w:rsidP="005D5010">
      <w:pPr>
        <w:pStyle w:val="ListParagraph"/>
        <w:widowControl w:val="0"/>
        <w:tabs>
          <w:tab w:val="left" w:pos="1677"/>
        </w:tabs>
        <w:autoSpaceDE w:val="0"/>
        <w:autoSpaceDN w:val="0"/>
        <w:spacing w:after="0" w:line="240" w:lineRule="auto"/>
        <w:ind w:left="2397" w:right="1783"/>
        <w:contextualSpacing w:val="0"/>
        <w:rPr>
          <w:rFonts w:ascii="Arial" w:hAnsi="Arial" w:cs="Arial"/>
          <w:spacing w:val="-2"/>
          <w:sz w:val="24"/>
          <w:szCs w:val="24"/>
        </w:rPr>
      </w:pPr>
    </w:p>
    <w:p w14:paraId="4A41C614" w14:textId="77777777" w:rsidR="005D5010" w:rsidRDefault="005D5010" w:rsidP="005D5010">
      <w:pPr>
        <w:pStyle w:val="ListParagraph"/>
        <w:widowControl w:val="0"/>
        <w:tabs>
          <w:tab w:val="left" w:pos="1677"/>
        </w:tabs>
        <w:autoSpaceDE w:val="0"/>
        <w:autoSpaceDN w:val="0"/>
        <w:spacing w:after="0" w:line="240" w:lineRule="auto"/>
        <w:ind w:left="2397" w:right="1783"/>
        <w:contextualSpacing w:val="0"/>
        <w:rPr>
          <w:rFonts w:ascii="Arial" w:hAnsi="Arial" w:cs="Arial"/>
          <w:spacing w:val="-2"/>
          <w:sz w:val="24"/>
          <w:szCs w:val="24"/>
        </w:rPr>
      </w:pPr>
    </w:p>
    <w:p w14:paraId="5858D87D" w14:textId="77777777" w:rsidR="005D5010" w:rsidRPr="005D5010" w:rsidRDefault="005D5010" w:rsidP="009C77FC">
      <w:pPr>
        <w:pStyle w:val="ListParagraph"/>
        <w:widowControl w:val="0"/>
        <w:tabs>
          <w:tab w:val="left" w:pos="1677"/>
        </w:tabs>
        <w:autoSpaceDE w:val="0"/>
        <w:autoSpaceDN w:val="0"/>
        <w:spacing w:after="0" w:line="240" w:lineRule="auto"/>
        <w:ind w:left="1530" w:right="1783"/>
        <w:contextualSpacing w:val="0"/>
        <w:jc w:val="center"/>
        <w:rPr>
          <w:rFonts w:ascii="Arial" w:hAnsi="Arial" w:cs="Arial"/>
          <w:b/>
          <w:sz w:val="24"/>
          <w:szCs w:val="24"/>
        </w:rPr>
      </w:pPr>
      <w:r>
        <w:rPr>
          <w:rFonts w:ascii="Arial" w:hAnsi="Arial" w:cs="Arial"/>
          <w:b/>
          <w:spacing w:val="-2"/>
          <w:sz w:val="24"/>
          <w:szCs w:val="24"/>
        </w:rPr>
        <w:t>*Policy subject to change at discretion of TRA board</w:t>
      </w:r>
    </w:p>
    <w:sectPr w:rsidR="005D5010" w:rsidRPr="005D5010" w:rsidSect="004400C0">
      <w:headerReference w:type="default" r:id="rId7"/>
      <w:pgSz w:w="12240" w:h="15840"/>
      <w:pgMar w:top="1440" w:right="1080" w:bottom="1440" w:left="24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4EF44" w14:textId="77777777" w:rsidR="00A01B49" w:rsidRDefault="00A01B49" w:rsidP="00D32B17">
      <w:pPr>
        <w:spacing w:after="0" w:line="240" w:lineRule="auto"/>
      </w:pPr>
      <w:r>
        <w:separator/>
      </w:r>
    </w:p>
  </w:endnote>
  <w:endnote w:type="continuationSeparator" w:id="0">
    <w:p w14:paraId="5936CBEF" w14:textId="77777777" w:rsidR="00A01B49" w:rsidRDefault="00A01B49" w:rsidP="00D3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9F90D" w14:textId="77777777" w:rsidR="00A01B49" w:rsidRDefault="00A01B49" w:rsidP="00D32B17">
      <w:pPr>
        <w:spacing w:after="0" w:line="240" w:lineRule="auto"/>
      </w:pPr>
      <w:r>
        <w:separator/>
      </w:r>
    </w:p>
  </w:footnote>
  <w:footnote w:type="continuationSeparator" w:id="0">
    <w:p w14:paraId="5B5A2866" w14:textId="77777777" w:rsidR="00A01B49" w:rsidRDefault="00A01B49" w:rsidP="00D32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C3F00" w14:textId="77777777" w:rsidR="00434B47" w:rsidRDefault="005B2136" w:rsidP="003F7FEE">
    <w:pPr>
      <w:pStyle w:val="Header"/>
      <w:rPr>
        <w:noProof/>
      </w:rPr>
    </w:pPr>
    <w:r>
      <w:rPr>
        <w:noProof/>
        <w:lang w:eastAsia="en-CA"/>
      </w:rPr>
      <w:drawing>
        <wp:inline distT="0" distB="0" distL="0" distR="0" wp14:anchorId="2C32EB62" wp14:editId="387CE106">
          <wp:extent cx="2158365" cy="658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658495"/>
                  </a:xfrm>
                  <a:prstGeom prst="rect">
                    <a:avLst/>
                  </a:prstGeom>
                  <a:noFill/>
                </pic:spPr>
              </pic:pic>
            </a:graphicData>
          </a:graphic>
        </wp:inline>
      </w:drawing>
    </w:r>
    <w:r>
      <w:rPr>
        <w:noProof/>
      </w:rPr>
      <w:tab/>
    </w:r>
    <w:r>
      <w:rPr>
        <w:noProof/>
      </w:rPr>
      <w:tab/>
    </w:r>
    <w:r>
      <w:rPr>
        <w:noProof/>
        <w:lang w:eastAsia="en-CA"/>
      </w:rPr>
      <w:drawing>
        <wp:inline distT="0" distB="0" distL="0" distR="0" wp14:anchorId="29D17587" wp14:editId="6396876B">
          <wp:extent cx="975360" cy="560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560705"/>
                  </a:xfrm>
                  <a:prstGeom prst="rect">
                    <a:avLst/>
                  </a:prstGeom>
                  <a:noFill/>
                </pic:spPr>
              </pic:pic>
            </a:graphicData>
          </a:graphic>
        </wp:inline>
      </w:drawing>
    </w:r>
  </w:p>
  <w:p w14:paraId="6349AB27" w14:textId="77777777" w:rsidR="0033180E" w:rsidRDefault="0033180E" w:rsidP="00434B4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433D1"/>
    <w:multiLevelType w:val="hybridMultilevel"/>
    <w:tmpl w:val="46769E1C"/>
    <w:lvl w:ilvl="0" w:tplc="0C323478">
      <w:start w:val="1"/>
      <w:numFmt w:val="decimal"/>
      <w:lvlText w:val="%1."/>
      <w:lvlJc w:val="left"/>
      <w:pPr>
        <w:ind w:left="1677" w:hanging="355"/>
        <w:jc w:val="left"/>
      </w:pPr>
      <w:rPr>
        <w:rFonts w:ascii="Arial" w:eastAsia="Arial" w:hAnsi="Arial" w:cs="Arial" w:hint="default"/>
        <w:b w:val="0"/>
        <w:bCs w:val="0"/>
        <w:i w:val="0"/>
        <w:iCs w:val="0"/>
        <w:spacing w:val="-1"/>
        <w:w w:val="104"/>
        <w:sz w:val="21"/>
        <w:szCs w:val="21"/>
        <w:lang w:val="en-US" w:eastAsia="en-US" w:bidi="ar-SA"/>
      </w:rPr>
    </w:lvl>
    <w:lvl w:ilvl="1" w:tplc="409E70FA">
      <w:numFmt w:val="bullet"/>
      <w:lvlText w:val="•"/>
      <w:lvlJc w:val="left"/>
      <w:pPr>
        <w:ind w:left="2622" w:hanging="355"/>
      </w:pPr>
      <w:rPr>
        <w:rFonts w:hint="default"/>
        <w:lang w:val="en-US" w:eastAsia="en-US" w:bidi="ar-SA"/>
      </w:rPr>
    </w:lvl>
    <w:lvl w:ilvl="2" w:tplc="A9C2258C">
      <w:numFmt w:val="bullet"/>
      <w:lvlText w:val="•"/>
      <w:lvlJc w:val="left"/>
      <w:pPr>
        <w:ind w:left="3564" w:hanging="355"/>
      </w:pPr>
      <w:rPr>
        <w:rFonts w:hint="default"/>
        <w:lang w:val="en-US" w:eastAsia="en-US" w:bidi="ar-SA"/>
      </w:rPr>
    </w:lvl>
    <w:lvl w:ilvl="3" w:tplc="B526EFA4">
      <w:numFmt w:val="bullet"/>
      <w:lvlText w:val="•"/>
      <w:lvlJc w:val="left"/>
      <w:pPr>
        <w:ind w:left="4506" w:hanging="355"/>
      </w:pPr>
      <w:rPr>
        <w:rFonts w:hint="default"/>
        <w:lang w:val="en-US" w:eastAsia="en-US" w:bidi="ar-SA"/>
      </w:rPr>
    </w:lvl>
    <w:lvl w:ilvl="4" w:tplc="FAD09062">
      <w:numFmt w:val="bullet"/>
      <w:lvlText w:val="•"/>
      <w:lvlJc w:val="left"/>
      <w:pPr>
        <w:ind w:left="5448" w:hanging="355"/>
      </w:pPr>
      <w:rPr>
        <w:rFonts w:hint="default"/>
        <w:lang w:val="en-US" w:eastAsia="en-US" w:bidi="ar-SA"/>
      </w:rPr>
    </w:lvl>
    <w:lvl w:ilvl="5" w:tplc="832A78E0">
      <w:numFmt w:val="bullet"/>
      <w:lvlText w:val="•"/>
      <w:lvlJc w:val="left"/>
      <w:pPr>
        <w:ind w:left="6390" w:hanging="355"/>
      </w:pPr>
      <w:rPr>
        <w:rFonts w:hint="default"/>
        <w:lang w:val="en-US" w:eastAsia="en-US" w:bidi="ar-SA"/>
      </w:rPr>
    </w:lvl>
    <w:lvl w:ilvl="6" w:tplc="BB62329E">
      <w:numFmt w:val="bullet"/>
      <w:lvlText w:val="•"/>
      <w:lvlJc w:val="left"/>
      <w:pPr>
        <w:ind w:left="7332" w:hanging="355"/>
      </w:pPr>
      <w:rPr>
        <w:rFonts w:hint="default"/>
        <w:lang w:val="en-US" w:eastAsia="en-US" w:bidi="ar-SA"/>
      </w:rPr>
    </w:lvl>
    <w:lvl w:ilvl="7" w:tplc="3EB29DCE">
      <w:numFmt w:val="bullet"/>
      <w:lvlText w:val="•"/>
      <w:lvlJc w:val="left"/>
      <w:pPr>
        <w:ind w:left="8274" w:hanging="355"/>
      </w:pPr>
      <w:rPr>
        <w:rFonts w:hint="default"/>
        <w:lang w:val="en-US" w:eastAsia="en-US" w:bidi="ar-SA"/>
      </w:rPr>
    </w:lvl>
    <w:lvl w:ilvl="8" w:tplc="83C0C5E2">
      <w:numFmt w:val="bullet"/>
      <w:lvlText w:val="•"/>
      <w:lvlJc w:val="left"/>
      <w:pPr>
        <w:ind w:left="9216" w:hanging="355"/>
      </w:pPr>
      <w:rPr>
        <w:rFonts w:hint="default"/>
        <w:lang w:val="en-US" w:eastAsia="en-US" w:bidi="ar-SA"/>
      </w:rPr>
    </w:lvl>
  </w:abstractNum>
  <w:abstractNum w:abstractNumId="1" w15:restartNumberingAfterBreak="0">
    <w:nsid w:val="6AA6437E"/>
    <w:multiLevelType w:val="hybridMultilevel"/>
    <w:tmpl w:val="18803D9A"/>
    <w:lvl w:ilvl="0" w:tplc="88E2DD6C">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9CA14E1"/>
    <w:multiLevelType w:val="hybridMultilevel"/>
    <w:tmpl w:val="B3F203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BB76C06"/>
    <w:multiLevelType w:val="hybridMultilevel"/>
    <w:tmpl w:val="FFA85984"/>
    <w:lvl w:ilvl="0" w:tplc="1009000F">
      <w:start w:val="1"/>
      <w:numFmt w:val="decimal"/>
      <w:lvlText w:val="%1."/>
      <w:lvlJc w:val="left"/>
      <w:pPr>
        <w:ind w:left="2397" w:hanging="360"/>
      </w:pPr>
    </w:lvl>
    <w:lvl w:ilvl="1" w:tplc="10090019">
      <w:start w:val="1"/>
      <w:numFmt w:val="lowerLetter"/>
      <w:lvlText w:val="%2."/>
      <w:lvlJc w:val="left"/>
      <w:pPr>
        <w:ind w:left="3117" w:hanging="360"/>
      </w:pPr>
    </w:lvl>
    <w:lvl w:ilvl="2" w:tplc="1009001B" w:tentative="1">
      <w:start w:val="1"/>
      <w:numFmt w:val="lowerRoman"/>
      <w:lvlText w:val="%3."/>
      <w:lvlJc w:val="right"/>
      <w:pPr>
        <w:ind w:left="3837" w:hanging="180"/>
      </w:pPr>
    </w:lvl>
    <w:lvl w:ilvl="3" w:tplc="1009000F" w:tentative="1">
      <w:start w:val="1"/>
      <w:numFmt w:val="decimal"/>
      <w:lvlText w:val="%4."/>
      <w:lvlJc w:val="left"/>
      <w:pPr>
        <w:ind w:left="4557" w:hanging="360"/>
      </w:pPr>
    </w:lvl>
    <w:lvl w:ilvl="4" w:tplc="10090019" w:tentative="1">
      <w:start w:val="1"/>
      <w:numFmt w:val="lowerLetter"/>
      <w:lvlText w:val="%5."/>
      <w:lvlJc w:val="left"/>
      <w:pPr>
        <w:ind w:left="5277" w:hanging="360"/>
      </w:pPr>
    </w:lvl>
    <w:lvl w:ilvl="5" w:tplc="1009001B" w:tentative="1">
      <w:start w:val="1"/>
      <w:numFmt w:val="lowerRoman"/>
      <w:lvlText w:val="%6."/>
      <w:lvlJc w:val="right"/>
      <w:pPr>
        <w:ind w:left="5997" w:hanging="180"/>
      </w:pPr>
    </w:lvl>
    <w:lvl w:ilvl="6" w:tplc="1009000F" w:tentative="1">
      <w:start w:val="1"/>
      <w:numFmt w:val="decimal"/>
      <w:lvlText w:val="%7."/>
      <w:lvlJc w:val="left"/>
      <w:pPr>
        <w:ind w:left="6717" w:hanging="360"/>
      </w:pPr>
    </w:lvl>
    <w:lvl w:ilvl="7" w:tplc="10090019" w:tentative="1">
      <w:start w:val="1"/>
      <w:numFmt w:val="lowerLetter"/>
      <w:lvlText w:val="%8."/>
      <w:lvlJc w:val="left"/>
      <w:pPr>
        <w:ind w:left="7437" w:hanging="360"/>
      </w:pPr>
    </w:lvl>
    <w:lvl w:ilvl="8" w:tplc="1009001B" w:tentative="1">
      <w:start w:val="1"/>
      <w:numFmt w:val="lowerRoman"/>
      <w:lvlText w:val="%9."/>
      <w:lvlJc w:val="right"/>
      <w:pPr>
        <w:ind w:left="815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66"/>
    <w:rsid w:val="00086B29"/>
    <w:rsid w:val="000B1F23"/>
    <w:rsid w:val="000D5179"/>
    <w:rsid w:val="00104BF8"/>
    <w:rsid w:val="001651F0"/>
    <w:rsid w:val="001C67BD"/>
    <w:rsid w:val="001F44F3"/>
    <w:rsid w:val="002F26AD"/>
    <w:rsid w:val="0033180E"/>
    <w:rsid w:val="00387534"/>
    <w:rsid w:val="003A1D66"/>
    <w:rsid w:val="003A22AF"/>
    <w:rsid w:val="003F7FEE"/>
    <w:rsid w:val="00407ABE"/>
    <w:rsid w:val="00421B1A"/>
    <w:rsid w:val="00434B47"/>
    <w:rsid w:val="004400C0"/>
    <w:rsid w:val="004523A1"/>
    <w:rsid w:val="0045687E"/>
    <w:rsid w:val="00475748"/>
    <w:rsid w:val="005609FA"/>
    <w:rsid w:val="005B2136"/>
    <w:rsid w:val="005C53F3"/>
    <w:rsid w:val="005D5010"/>
    <w:rsid w:val="005D5F61"/>
    <w:rsid w:val="00632858"/>
    <w:rsid w:val="006A0669"/>
    <w:rsid w:val="006B774C"/>
    <w:rsid w:val="006C3396"/>
    <w:rsid w:val="006C3C19"/>
    <w:rsid w:val="00702D52"/>
    <w:rsid w:val="00736C0D"/>
    <w:rsid w:val="00753B59"/>
    <w:rsid w:val="007B7E88"/>
    <w:rsid w:val="007D43FF"/>
    <w:rsid w:val="0080357C"/>
    <w:rsid w:val="008E0580"/>
    <w:rsid w:val="008E5420"/>
    <w:rsid w:val="009017DF"/>
    <w:rsid w:val="00916931"/>
    <w:rsid w:val="009A1EC8"/>
    <w:rsid w:val="009B7DB8"/>
    <w:rsid w:val="009C77FC"/>
    <w:rsid w:val="009F23BA"/>
    <w:rsid w:val="00A01B49"/>
    <w:rsid w:val="00A16AC3"/>
    <w:rsid w:val="00A315DA"/>
    <w:rsid w:val="00A529AD"/>
    <w:rsid w:val="00AD2695"/>
    <w:rsid w:val="00B011D2"/>
    <w:rsid w:val="00B62970"/>
    <w:rsid w:val="00B90211"/>
    <w:rsid w:val="00C979C2"/>
    <w:rsid w:val="00CA0D2B"/>
    <w:rsid w:val="00CA12A1"/>
    <w:rsid w:val="00CD24C4"/>
    <w:rsid w:val="00CD430C"/>
    <w:rsid w:val="00CE70EF"/>
    <w:rsid w:val="00D32B17"/>
    <w:rsid w:val="00D418E8"/>
    <w:rsid w:val="00D72CC5"/>
    <w:rsid w:val="00DA7A10"/>
    <w:rsid w:val="00E061E6"/>
    <w:rsid w:val="00E11B10"/>
    <w:rsid w:val="00E35C32"/>
    <w:rsid w:val="00EC6D35"/>
    <w:rsid w:val="00F016E1"/>
    <w:rsid w:val="00F033A7"/>
    <w:rsid w:val="00F153BC"/>
    <w:rsid w:val="00F33224"/>
    <w:rsid w:val="00F50595"/>
    <w:rsid w:val="00FA184D"/>
    <w:rsid w:val="00FB42DE"/>
    <w:rsid w:val="00FE77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609BC"/>
  <w15:docId w15:val="{018BA95D-849A-4580-B4FA-8D9C4E09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A1D66"/>
    <w:pPr>
      <w:ind w:left="720"/>
      <w:contextualSpacing/>
    </w:pPr>
  </w:style>
  <w:style w:type="paragraph" w:styleId="Header">
    <w:name w:val="header"/>
    <w:basedOn w:val="Normal"/>
    <w:link w:val="HeaderChar"/>
    <w:uiPriority w:val="99"/>
    <w:unhideWhenUsed/>
    <w:rsid w:val="00D32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B17"/>
  </w:style>
  <w:style w:type="paragraph" w:styleId="Footer">
    <w:name w:val="footer"/>
    <w:basedOn w:val="Normal"/>
    <w:link w:val="FooterChar"/>
    <w:uiPriority w:val="99"/>
    <w:unhideWhenUsed/>
    <w:rsid w:val="00D3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B17"/>
  </w:style>
  <w:style w:type="paragraph" w:styleId="BalloonText">
    <w:name w:val="Balloon Text"/>
    <w:basedOn w:val="Normal"/>
    <w:link w:val="BalloonTextChar"/>
    <w:uiPriority w:val="99"/>
    <w:semiHidden/>
    <w:unhideWhenUsed/>
    <w:rsid w:val="00D32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B17"/>
    <w:rPr>
      <w:rFonts w:ascii="Tahoma" w:hAnsi="Tahoma" w:cs="Tahoma"/>
      <w:sz w:val="16"/>
      <w:szCs w:val="16"/>
    </w:rPr>
  </w:style>
  <w:style w:type="paragraph" w:styleId="BodyText">
    <w:name w:val="Body Text"/>
    <w:basedOn w:val="Normal"/>
    <w:link w:val="BodyTextChar"/>
    <w:uiPriority w:val="1"/>
    <w:qFormat/>
    <w:rsid w:val="00CA12A1"/>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CA12A1"/>
    <w:rPr>
      <w:rFonts w:ascii="Arial" w:eastAsia="Arial" w:hAnsi="Arial" w:cs="Arial"/>
      <w:sz w:val="21"/>
      <w:szCs w:val="21"/>
      <w:lang w:val="en-US"/>
    </w:rPr>
  </w:style>
  <w:style w:type="character" w:styleId="CommentReference">
    <w:name w:val="annotation reference"/>
    <w:basedOn w:val="DefaultParagraphFont"/>
    <w:uiPriority w:val="99"/>
    <w:semiHidden/>
    <w:unhideWhenUsed/>
    <w:rsid w:val="005D5010"/>
    <w:rPr>
      <w:sz w:val="16"/>
      <w:szCs w:val="16"/>
    </w:rPr>
  </w:style>
  <w:style w:type="paragraph" w:styleId="CommentText">
    <w:name w:val="annotation text"/>
    <w:basedOn w:val="Normal"/>
    <w:link w:val="CommentTextChar"/>
    <w:uiPriority w:val="99"/>
    <w:semiHidden/>
    <w:unhideWhenUsed/>
    <w:rsid w:val="005D5010"/>
    <w:pPr>
      <w:spacing w:line="240" w:lineRule="auto"/>
    </w:pPr>
    <w:rPr>
      <w:sz w:val="20"/>
      <w:szCs w:val="20"/>
    </w:rPr>
  </w:style>
  <w:style w:type="character" w:customStyle="1" w:styleId="CommentTextChar">
    <w:name w:val="Comment Text Char"/>
    <w:basedOn w:val="DefaultParagraphFont"/>
    <w:link w:val="CommentText"/>
    <w:uiPriority w:val="99"/>
    <w:semiHidden/>
    <w:rsid w:val="005D5010"/>
    <w:rPr>
      <w:sz w:val="20"/>
      <w:szCs w:val="20"/>
    </w:rPr>
  </w:style>
  <w:style w:type="paragraph" w:styleId="CommentSubject">
    <w:name w:val="annotation subject"/>
    <w:basedOn w:val="CommentText"/>
    <w:next w:val="CommentText"/>
    <w:link w:val="CommentSubjectChar"/>
    <w:uiPriority w:val="99"/>
    <w:semiHidden/>
    <w:unhideWhenUsed/>
    <w:rsid w:val="005D5010"/>
    <w:rPr>
      <w:b/>
      <w:bCs/>
    </w:rPr>
  </w:style>
  <w:style w:type="character" w:customStyle="1" w:styleId="CommentSubjectChar">
    <w:name w:val="Comment Subject Char"/>
    <w:basedOn w:val="CommentTextChar"/>
    <w:link w:val="CommentSubject"/>
    <w:uiPriority w:val="99"/>
    <w:semiHidden/>
    <w:rsid w:val="005D5010"/>
    <w:rPr>
      <w:b/>
      <w:bCs/>
      <w:sz w:val="20"/>
      <w:szCs w:val="20"/>
    </w:rPr>
  </w:style>
  <w:style w:type="character" w:styleId="Hyperlink">
    <w:name w:val="Hyperlink"/>
    <w:basedOn w:val="DefaultParagraphFont"/>
    <w:uiPriority w:val="99"/>
    <w:unhideWhenUsed/>
    <w:rsid w:val="008E05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Winnipeg</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Jill Bemi</cp:lastModifiedBy>
  <cp:revision>8</cp:revision>
  <dcterms:created xsi:type="dcterms:W3CDTF">2025-06-08T19:33:00Z</dcterms:created>
  <dcterms:modified xsi:type="dcterms:W3CDTF">2025-11-16T20:57:00Z</dcterms:modified>
</cp:coreProperties>
</file>