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1E9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Step 1 – Search for a course</w:t>
      </w:r>
    </w:p>
    <w:p w14:paraId="225D1C04" w14:textId="77777777" w:rsidR="009C45C2" w:rsidRPr="009C45C2" w:rsidRDefault="009C45C2" w:rsidP="009C45C2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Go to – </w:t>
      </w:r>
      <w:hyperlink r:id="rId5" w:history="1">
        <w:r w:rsidRPr="009C45C2">
          <w:rPr>
            <w:rFonts w:ascii="Oxygen" w:eastAsia="Times New Roman" w:hAnsi="Oxygen" w:cs="Times New Roman"/>
            <w:b/>
            <w:bCs/>
            <w:color w:val="CE1602"/>
            <w:kern w:val="0"/>
            <w:sz w:val="23"/>
            <w:szCs w:val="23"/>
            <w:lang w:eastAsia="en-CA"/>
            <w14:ligatures w14:val="none"/>
          </w:rPr>
          <w:t>www.refcentre.com/alberta</w:t>
        </w:r>
      </w:hyperlink>
    </w:p>
    <w:p w14:paraId="69088D28" w14:textId="77777777" w:rsidR="009C45C2" w:rsidRPr="009C45C2" w:rsidRDefault="009C45C2" w:rsidP="009C45C2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Enter a range of dates to search – Spring Courses start in March and continue to early May.</w:t>
      </w:r>
    </w:p>
    <w:p w14:paraId="081C3138" w14:textId="77777777" w:rsidR="009C45C2" w:rsidRPr="009C45C2" w:rsidRDefault="009C45C2" w:rsidP="009C45C2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Fall courses are offered based on demand, between September and November.</w:t>
      </w:r>
    </w:p>
    <w:p w14:paraId="3C98E438" w14:textId="77777777" w:rsidR="009C45C2" w:rsidRPr="009C45C2" w:rsidRDefault="009C45C2" w:rsidP="009C45C2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Click the ‘Search’ </w:t>
      </w:r>
      <w:proofErr w:type="gram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button</w:t>
      </w:r>
      <w:proofErr w:type="gramEnd"/>
    </w:p>
    <w:p w14:paraId="50781EFF" w14:textId="77777777" w:rsidR="009C45C2" w:rsidRPr="009C45C2" w:rsidRDefault="009C45C2" w:rsidP="009C45C2">
      <w:pPr>
        <w:spacing w:after="0" w:line="240" w:lineRule="auto"/>
        <w:rPr>
          <w:rFonts w:ascii="Oxygen" w:eastAsia="Times New Roman" w:hAnsi="Oxygen" w:cs="Times New Roman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34AF1D19">
          <v:rect id="_x0000_i1025" style="width:0;height:1.5pt" o:hralign="center" o:hrstd="t" o:hrnoshade="t" o:hr="t" fillcolor="#182734" stroked="f"/>
        </w:pict>
      </w:r>
    </w:p>
    <w:p w14:paraId="2B49F0A2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noProof/>
          <w:color w:val="182734"/>
          <w:kern w:val="0"/>
          <w:sz w:val="23"/>
          <w:szCs w:val="23"/>
          <w:lang w:eastAsia="en-CA"/>
          <w14:ligatures w14:val="none"/>
        </w:rPr>
        <w:drawing>
          <wp:inline distT="0" distB="0" distL="0" distR="0" wp14:anchorId="1DAED5FD" wp14:editId="57540AF9">
            <wp:extent cx="2562225" cy="1771650"/>
            <wp:effectExtent l="0" t="0" r="9525" b="0"/>
            <wp:docPr id="2" name="Picture 3" descr="signUp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UpT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4214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 xml:space="preserve">Step 2 – Select an appropriate </w:t>
      </w:r>
      <w:proofErr w:type="gramStart"/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course</w:t>
      </w:r>
      <w:proofErr w:type="gramEnd"/>
    </w:p>
    <w:p w14:paraId="1B70E132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Look for a ‘Mini’ or ‘Entry Level’ course that works for you.</w:t>
      </w:r>
    </w:p>
    <w:p w14:paraId="547BEC2B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If a course is ‘Full’, spaces may </w:t>
      </w:r>
      <w:proofErr w:type="gram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open up</w:t>
      </w:r>
      <w:proofErr w:type="gram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 if a student cancels, so check back later.</w:t>
      </w:r>
    </w:p>
    <w:p w14:paraId="311FFF85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If the course is ‘pending’, it will become available for registering once it has been approved by the district and the province – please check back in a couple of days.</w:t>
      </w:r>
    </w:p>
    <w:p w14:paraId="339A5940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If a course is listed as ‘private’, it is because the course host is reserving spaces for students in their own district or club. You will need a code to register for the course. Click on the course number at the left-hand side to view the contact information for the course to inquire if there is room in the course for outside students.</w:t>
      </w:r>
    </w:p>
    <w:p w14:paraId="435EAE1D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Click the ‘Register’ link.</w:t>
      </w:r>
    </w:p>
    <w:p w14:paraId="224A5B6A" w14:textId="77777777" w:rsidR="009C45C2" w:rsidRPr="009C45C2" w:rsidRDefault="009C45C2" w:rsidP="009C45C2">
      <w:pPr>
        <w:numPr>
          <w:ilvl w:val="0"/>
          <w:numId w:val="2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i/>
          <w:iCs/>
          <w:color w:val="182734"/>
          <w:kern w:val="0"/>
          <w:sz w:val="23"/>
          <w:szCs w:val="23"/>
          <w:lang w:eastAsia="en-CA"/>
          <w14:ligatures w14:val="none"/>
        </w:rPr>
        <w:t xml:space="preserve">Note – Hosts are just starting to submit requests for Spring courses so if you don’t see anything </w:t>
      </w:r>
      <w:proofErr w:type="gramStart"/>
      <w:r w:rsidRPr="009C45C2">
        <w:rPr>
          <w:rFonts w:ascii="Oxygen" w:eastAsia="Times New Roman" w:hAnsi="Oxygen" w:cs="Times New Roman"/>
          <w:b/>
          <w:bCs/>
          <w:i/>
          <w:iCs/>
          <w:color w:val="182734"/>
          <w:kern w:val="0"/>
          <w:sz w:val="23"/>
          <w:szCs w:val="23"/>
          <w:lang w:eastAsia="en-CA"/>
          <w14:ligatures w14:val="none"/>
        </w:rPr>
        <w:t>at the moment</w:t>
      </w:r>
      <w:proofErr w:type="gramEnd"/>
      <w:r w:rsidRPr="009C45C2">
        <w:rPr>
          <w:rFonts w:ascii="Oxygen" w:eastAsia="Times New Roman" w:hAnsi="Oxygen" w:cs="Times New Roman"/>
          <w:b/>
          <w:bCs/>
          <w:i/>
          <w:iCs/>
          <w:color w:val="182734"/>
          <w:kern w:val="0"/>
          <w:sz w:val="23"/>
          <w:szCs w:val="23"/>
          <w:lang w:eastAsia="en-CA"/>
          <w14:ligatures w14:val="none"/>
        </w:rPr>
        <w:t xml:space="preserve"> that works for you, check back over the next month or so as more options will become available.</w:t>
      </w:r>
    </w:p>
    <w:p w14:paraId="19A1B2EC" w14:textId="77777777" w:rsidR="009C45C2" w:rsidRPr="009C45C2" w:rsidRDefault="009C45C2" w:rsidP="009C45C2">
      <w:pPr>
        <w:spacing w:after="0" w:line="240" w:lineRule="auto"/>
        <w:rPr>
          <w:rFonts w:ascii="Oxygen" w:eastAsia="Times New Roman" w:hAnsi="Oxygen" w:cs="Times New Roman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lastRenderedPageBreak/>
        <w:pict w14:anchorId="3CFC0EF7">
          <v:rect id="_x0000_i1026" style="width:0;height:1.5pt" o:hralign="center" o:hrstd="t" o:hrnoshade="t" o:hr="t" fillcolor="#182734" stroked="f"/>
        </w:pict>
      </w:r>
    </w:p>
    <w:p w14:paraId="6B59D129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noProof/>
          <w:color w:val="182734"/>
          <w:kern w:val="0"/>
          <w:sz w:val="23"/>
          <w:szCs w:val="23"/>
          <w:lang w:eastAsia="en-CA"/>
          <w14:ligatures w14:val="none"/>
        </w:rPr>
        <w:drawing>
          <wp:inline distT="0" distB="0" distL="0" distR="0" wp14:anchorId="4E35D7E9" wp14:editId="02A8DD3D">
            <wp:extent cx="2505075" cy="2390775"/>
            <wp:effectExtent l="0" t="0" r="9525" b="9525"/>
            <wp:docPr id="4" name="Picture 2" descr="signUp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UpTh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1265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 xml:space="preserve">Step 3 – Complete the profile </w:t>
      </w:r>
      <w:proofErr w:type="gramStart"/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information</w:t>
      </w:r>
      <w:proofErr w:type="gramEnd"/>
    </w:p>
    <w:p w14:paraId="50609A50" w14:textId="77777777" w:rsidR="009C45C2" w:rsidRPr="009C45C2" w:rsidRDefault="009C45C2" w:rsidP="009C45C2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Check the course details, to ensure that you have selected the course you wanted.</w:t>
      </w:r>
    </w:p>
    <w:p w14:paraId="250CBF03" w14:textId="77777777" w:rsidR="009C45C2" w:rsidRPr="009C45C2" w:rsidRDefault="009C45C2" w:rsidP="009C45C2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Enter ALL information for the student who will be taking the course.</w:t>
      </w:r>
    </w:p>
    <w:p w14:paraId="7508A8A8" w14:textId="77777777" w:rsidR="009C45C2" w:rsidRPr="009C45C2" w:rsidRDefault="009C45C2" w:rsidP="009C45C2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Create a password for </w:t>
      </w:r>
      <w:proofErr w:type="spell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Refcentre</w:t>
      </w:r>
      <w:proofErr w:type="spell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 – note, the </w:t>
      </w:r>
      <w:proofErr w:type="gram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user name</w:t>
      </w:r>
      <w:proofErr w:type="gram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 will be your email address and the password must be unique for </w:t>
      </w:r>
      <w:proofErr w:type="spell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Refcentre</w:t>
      </w:r>
      <w:proofErr w:type="spell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. If you already have an account using the same email address (Mini account, another referee in the family etc.), you MUST use a different password at this time.</w:t>
      </w:r>
    </w:p>
    <w:p w14:paraId="683B3BAD" w14:textId="77777777" w:rsidR="009C45C2" w:rsidRPr="009C45C2" w:rsidRDefault="009C45C2" w:rsidP="009C45C2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Keep a note of passwords for future reference, but they can also be retrieved by using the ‘Forgot Password’ link next to the Log In boxes.</w:t>
      </w:r>
    </w:p>
    <w:p w14:paraId="436D456C" w14:textId="77777777" w:rsidR="009C45C2" w:rsidRPr="009C45C2" w:rsidRDefault="009C45C2" w:rsidP="009C45C2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Use a ‘home’ email </w:t>
      </w:r>
      <w:proofErr w:type="gram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address</w:t>
      </w:r>
      <w:proofErr w:type="gram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 if possible, as your business email address may change at some point, and we will not be able to contact you if this happens.</w:t>
      </w:r>
    </w:p>
    <w:p w14:paraId="520D1773" w14:textId="77777777" w:rsidR="009C45C2" w:rsidRPr="009C45C2" w:rsidRDefault="009C45C2" w:rsidP="009C45C2">
      <w:pPr>
        <w:spacing w:after="0" w:line="240" w:lineRule="auto"/>
        <w:rPr>
          <w:rFonts w:ascii="Oxygen" w:eastAsia="Times New Roman" w:hAnsi="Oxygen" w:cs="Times New Roman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2CD6ED21">
          <v:rect id="_x0000_i1027" style="width:0;height:1.5pt" o:hralign="center" o:hrstd="t" o:hrnoshade="t" o:hr="t" fillcolor="#182734" stroked="f"/>
        </w:pict>
      </w:r>
    </w:p>
    <w:p w14:paraId="5B498119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Step 4 – Approval for Course and Pre-course Work</w:t>
      </w:r>
    </w:p>
    <w:p w14:paraId="2DEA929F" w14:textId="77777777" w:rsidR="009C45C2" w:rsidRPr="009C45C2" w:rsidRDefault="009C45C2" w:rsidP="009C45C2">
      <w:pPr>
        <w:numPr>
          <w:ilvl w:val="0"/>
          <w:numId w:val="4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Your application for the course will be approved by the host of the course once they have confirmed your status – payment etc. You will receive an email to the address that was used to register.</w:t>
      </w:r>
    </w:p>
    <w:p w14:paraId="1B079EE1" w14:textId="77777777" w:rsidR="009C45C2" w:rsidRPr="009C45C2" w:rsidRDefault="009C45C2" w:rsidP="009C45C2">
      <w:pPr>
        <w:numPr>
          <w:ilvl w:val="0"/>
          <w:numId w:val="4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lastRenderedPageBreak/>
        <w:t>For a Mini course, there is no pre-course work, so once approved – you are ready to attend the course.</w:t>
      </w:r>
    </w:p>
    <w:p w14:paraId="0E66CB4C" w14:textId="77777777" w:rsidR="009C45C2" w:rsidRPr="009C45C2" w:rsidRDefault="009C45C2" w:rsidP="009C45C2">
      <w:pPr>
        <w:numPr>
          <w:ilvl w:val="0"/>
          <w:numId w:val="4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For an Entry Level course – there is a series of online modules to complete. See Step 5 for how to access this.</w:t>
      </w:r>
    </w:p>
    <w:p w14:paraId="1891E6DF" w14:textId="77777777" w:rsidR="009C45C2" w:rsidRPr="009C45C2" w:rsidRDefault="009C45C2" w:rsidP="009C45C2">
      <w:pPr>
        <w:numPr>
          <w:ilvl w:val="0"/>
          <w:numId w:val="4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If you have any questions about your course, please contact the course host, who is listed on your main course page. See Step 5 for how to access this.</w:t>
      </w:r>
    </w:p>
    <w:p w14:paraId="3052BEB2" w14:textId="77777777" w:rsidR="009C45C2" w:rsidRPr="009C45C2" w:rsidRDefault="009C45C2" w:rsidP="009C45C2">
      <w:pPr>
        <w:spacing w:after="0" w:line="240" w:lineRule="auto"/>
        <w:rPr>
          <w:rFonts w:ascii="Oxygen" w:eastAsia="Times New Roman" w:hAnsi="Oxygen" w:cs="Times New Roman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4C53C4D5">
          <v:rect id="_x0000_i1028" style="width:0;height:1.5pt" o:hralign="center" o:hrstd="t" o:hrnoshade="t" o:hr="t" fillcolor="#182734" stroked="f"/>
        </w:pict>
      </w:r>
    </w:p>
    <w:p w14:paraId="716A89A7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noProof/>
          <w:color w:val="182734"/>
          <w:kern w:val="0"/>
          <w:sz w:val="23"/>
          <w:szCs w:val="23"/>
          <w:lang w:eastAsia="en-CA"/>
          <w14:ligatures w14:val="none"/>
        </w:rPr>
        <w:drawing>
          <wp:inline distT="0" distB="0" distL="0" distR="0" wp14:anchorId="233C2D9A" wp14:editId="56AE2884">
            <wp:extent cx="2667000" cy="1419225"/>
            <wp:effectExtent l="0" t="0" r="0" b="9525"/>
            <wp:docPr id="7" name="Picture 1" descr="signUp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UpF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C774" w14:textId="77777777" w:rsidR="009C45C2" w:rsidRPr="009C45C2" w:rsidRDefault="009C45C2" w:rsidP="009C45C2">
      <w:pPr>
        <w:shd w:val="clear" w:color="auto" w:fill="EAEAEA"/>
        <w:spacing w:after="300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 xml:space="preserve">Step 5 – Logging back </w:t>
      </w:r>
      <w:proofErr w:type="gramStart"/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In</w:t>
      </w:r>
      <w:proofErr w:type="gramEnd"/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 xml:space="preserve"> for pre-course work, confirming course status etc.</w:t>
      </w:r>
    </w:p>
    <w:p w14:paraId="07036351" w14:textId="77777777" w:rsidR="009C45C2" w:rsidRPr="009C45C2" w:rsidRDefault="009C45C2" w:rsidP="009C45C2">
      <w:pPr>
        <w:numPr>
          <w:ilvl w:val="0"/>
          <w:numId w:val="5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Once you are accepted into a course, you can log in at – </w:t>
      </w:r>
      <w:hyperlink r:id="rId9" w:history="1">
        <w:r w:rsidRPr="009C45C2">
          <w:rPr>
            <w:rFonts w:ascii="Oxygen" w:eastAsia="Times New Roman" w:hAnsi="Oxygen" w:cs="Times New Roman"/>
            <w:b/>
            <w:bCs/>
            <w:color w:val="CE1602"/>
            <w:kern w:val="0"/>
            <w:sz w:val="23"/>
            <w:szCs w:val="23"/>
            <w:u w:val="single"/>
            <w:lang w:eastAsia="en-CA"/>
            <w14:ligatures w14:val="none"/>
          </w:rPr>
          <w:t>www.refcentre.com/alberta</w:t>
        </w:r>
      </w:hyperlink>
      <w:r w:rsidRPr="009C45C2">
        <w:rPr>
          <w:rFonts w:ascii="Oxygen" w:eastAsia="Times New Roman" w:hAnsi="Oxygen" w:cs="Times New Roman"/>
          <w:b/>
          <w:bCs/>
          <w:color w:val="182734"/>
          <w:kern w:val="0"/>
          <w:sz w:val="23"/>
          <w:szCs w:val="23"/>
          <w:lang w:eastAsia="en-CA"/>
          <w14:ligatures w14:val="none"/>
        </w:rPr>
        <w:t> – </w:t>
      </w: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to complete any pre-course work and view details of your in-person sessions etc.</w:t>
      </w:r>
    </w:p>
    <w:p w14:paraId="2805DA6B" w14:textId="77777777" w:rsidR="009C45C2" w:rsidRPr="009C45C2" w:rsidRDefault="009C45C2" w:rsidP="009C45C2">
      <w:pPr>
        <w:numPr>
          <w:ilvl w:val="0"/>
          <w:numId w:val="5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Enter the email and password combination that you had previously chosen – into the log in box as shown. There is a ‘forgot password’ link there if you need it.</w:t>
      </w:r>
    </w:p>
    <w:p w14:paraId="0398F2FF" w14:textId="77777777" w:rsidR="009C45C2" w:rsidRPr="009C45C2" w:rsidRDefault="009C45C2" w:rsidP="009C45C2">
      <w:pPr>
        <w:numPr>
          <w:ilvl w:val="0"/>
          <w:numId w:val="5"/>
        </w:numPr>
        <w:shd w:val="clear" w:color="auto" w:fill="EAEAEA"/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</w:pPr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Once you have been graduated after the course, you will receive an email from </w:t>
      </w:r>
      <w:proofErr w:type="spellStart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>Refcentre</w:t>
      </w:r>
      <w:proofErr w:type="spellEnd"/>
      <w:r w:rsidRPr="009C45C2">
        <w:rPr>
          <w:rFonts w:ascii="Oxygen" w:eastAsia="Times New Roman" w:hAnsi="Oxygen" w:cs="Times New Roman"/>
          <w:color w:val="182734"/>
          <w:kern w:val="0"/>
          <w:sz w:val="23"/>
          <w:szCs w:val="23"/>
          <w:lang w:eastAsia="en-CA"/>
          <w14:ligatures w14:val="none"/>
        </w:rPr>
        <w:t xml:space="preserve"> asking you to log in and complete a couple of final steps in the graduation process.</w:t>
      </w:r>
    </w:p>
    <w:p w14:paraId="6E78E241" w14:textId="77777777" w:rsidR="00984A1E" w:rsidRDefault="00984A1E"/>
    <w:sectPr w:rsidR="00984A1E" w:rsidSect="009C45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D73"/>
    <w:multiLevelType w:val="multilevel"/>
    <w:tmpl w:val="889A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46C3B"/>
    <w:multiLevelType w:val="multilevel"/>
    <w:tmpl w:val="D50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0E8C"/>
    <w:multiLevelType w:val="multilevel"/>
    <w:tmpl w:val="9FD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42D7B"/>
    <w:multiLevelType w:val="multilevel"/>
    <w:tmpl w:val="E63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E7FCF"/>
    <w:multiLevelType w:val="multilevel"/>
    <w:tmpl w:val="151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010496">
    <w:abstractNumId w:val="4"/>
  </w:num>
  <w:num w:numId="2" w16cid:durableId="1532184357">
    <w:abstractNumId w:val="3"/>
  </w:num>
  <w:num w:numId="3" w16cid:durableId="1019700979">
    <w:abstractNumId w:val="1"/>
  </w:num>
  <w:num w:numId="4" w16cid:durableId="615136226">
    <w:abstractNumId w:val="2"/>
  </w:num>
  <w:num w:numId="5" w16cid:durableId="10849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C2"/>
    <w:rsid w:val="006F31C1"/>
    <w:rsid w:val="00710BDD"/>
    <w:rsid w:val="00984A1E"/>
    <w:rsid w:val="009C45C2"/>
    <w:rsid w:val="00A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64B6"/>
  <w15:chartTrackingRefBased/>
  <w15:docId w15:val="{58255BF5-7ABC-4CC9-854D-6F40774B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5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5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5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5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5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refcentre.com/alber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centre.com/albe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1</cp:revision>
  <dcterms:created xsi:type="dcterms:W3CDTF">2024-03-05T18:58:00Z</dcterms:created>
  <dcterms:modified xsi:type="dcterms:W3CDTF">2024-03-05T19:00:00Z</dcterms:modified>
</cp:coreProperties>
</file>