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Kootenay Rovers Classic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2217900</wp:posOffset>
            </wp:positionH>
            <wp:positionV relativeFrom="paragraph">
              <wp:posOffset>466725</wp:posOffset>
            </wp:positionV>
            <wp:extent cx="1290638" cy="1290638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0638" cy="12906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Air Quality Policy and Procedure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 KRC tournament committee will be continuously monitoring the air quality rating and following BC Soccer’s Air Quality control guidelines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air-quality-guideline-bc-soccer-updated.pdf (bcsoccer.net)</w:t>
        </w:r>
      </w:hyperlink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In the event that the air quality in Cranbrook reaches a 7 or above, all games at that time will be cancelled.  If the forecasted air quality is to remain above a 7 for the remainder of the day the rest of the day will be cancelled.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If the day cancelled is the final day of the tournament medals and standings will be given out based on what they were when all games were cancelled.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If the tournament is able to continue, teams that had their games cancelled will get the opportunity to face their opponent in a penalty kick shootout to see who wins the game therefore getting the 3 points for a win. 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Team managers will be connected by email if any of the above situations occur.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bcsoccer.net/media/f55onmgp/air-quality-guideline-bc-soccer-updat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