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1496425" cy="1496425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5" cy="1496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2"/>
                <w:szCs w:val="42"/>
                <w:rtl w:val="0"/>
              </w:rPr>
              <w:t xml:space="preserve">Mount Pearl Soccer Association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44 Arena Road, Mount Pearl, NL A1N 0J6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2"/>
                <w:szCs w:val="42"/>
                <w:rtl w:val="0"/>
              </w:rPr>
              <w:t xml:space="preserve">Coach Discount Policy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2"/>
                <w:szCs w:val="42"/>
                <w:rtl w:val="0"/>
              </w:rPr>
              <w:t xml:space="preserve">                                           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Mount Pearl Soccer Association appreciates the time commitment of all of our volunteers.  We will provide the coaching staff of our Metro and PYL teams a discount on registration as a token of appreciation each year.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Who is Eligible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Head Coach, Assistant Coach, and Manager for each Metro team, to a maximum of three staff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Head Coach, Assistant Coach, Goalie Coach or Trainer, and Manager for each PYL team to a maximum of five staff in addition to the Head Coach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Criteria to Receive Discount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 must be approved by the Board as part of the coaching staff for the team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 must be in good standing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 must complete the full season in the position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Discount to be Awarded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$100 for Head Coach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$50 for all other Coaching Staff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 information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Discounts will be applied in the next calendar year upon registration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Multiple discounts may be applied if a member is approved to work with more than one team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money will be paid directly to coaching staff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 member of our coaching staff does not have a child in the club, they will get a credit for the applicable amount for Club Merchandise.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Junior coaches will receive a training shirt - not a discount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policy is to be reviewed and approved annually.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  <w:t xml:space="preserve">MPSA Coach Discount Policy 2023</w:t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