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490"/>
      </w:tblGrid>
      <w:tr w:rsidR="005E2789" w:rsidRPr="00A90145" w14:paraId="677C9880" w14:textId="77777777" w:rsidTr="00CF4698">
        <w:trPr>
          <w:trHeight w:val="1021"/>
          <w:jc w:val="center"/>
        </w:trPr>
        <w:tc>
          <w:tcPr>
            <w:tcW w:w="10490" w:type="dxa"/>
            <w:tcBorders>
              <w:top w:val="single" w:sz="4" w:space="0" w:color="auto"/>
              <w:left w:val="single" w:sz="4" w:space="0" w:color="auto"/>
              <w:bottom w:val="single" w:sz="4" w:space="0" w:color="auto"/>
              <w:right w:val="single" w:sz="4" w:space="0" w:color="auto"/>
            </w:tcBorders>
            <w:vAlign w:val="center"/>
            <w:hideMark/>
          </w:tcPr>
          <w:p w14:paraId="0C6B19E0" w14:textId="03CC5BA8" w:rsidR="005E2789" w:rsidRDefault="005E2789" w:rsidP="005E2789">
            <w:pPr>
              <w:pStyle w:val="Heading1"/>
              <w:jc w:val="center"/>
            </w:pPr>
            <w:bookmarkStart w:id="0" w:name="_Toc38211411"/>
            <w:r>
              <w:t>Newfoundland and Labrador</w:t>
            </w:r>
          </w:p>
          <w:p w14:paraId="0AFB5871" w14:textId="004C5BD1" w:rsidR="005E2789" w:rsidRPr="00B231F7" w:rsidRDefault="005E2789" w:rsidP="005E2789">
            <w:pPr>
              <w:pStyle w:val="Heading1"/>
              <w:jc w:val="center"/>
            </w:pPr>
            <w:r w:rsidRPr="00B231F7">
              <w:t>Dispute Resolution Policy</w:t>
            </w:r>
            <w:bookmarkEnd w:id="0"/>
          </w:p>
        </w:tc>
      </w:tr>
    </w:tbl>
    <w:p w14:paraId="31F36235" w14:textId="77777777" w:rsidR="005E2789" w:rsidRPr="00A90145" w:rsidRDefault="005E2789" w:rsidP="005E2789">
      <w:pPr>
        <w:jc w:val="both"/>
        <w:rPr>
          <w:rFonts w:asciiTheme="minorHAnsi" w:hAnsiTheme="minorHAnsi" w:cstheme="minorHAnsi"/>
          <w:sz w:val="22"/>
        </w:rPr>
      </w:pPr>
    </w:p>
    <w:p w14:paraId="610B60D2" w14:textId="77777777" w:rsidR="005E2789" w:rsidRPr="00A90145" w:rsidRDefault="005E2789" w:rsidP="005E2789">
      <w:pPr>
        <w:ind w:left="426" w:hanging="426"/>
        <w:jc w:val="both"/>
        <w:rPr>
          <w:rFonts w:asciiTheme="minorHAnsi" w:hAnsiTheme="minorHAnsi" w:cstheme="minorHAnsi"/>
          <w:b/>
          <w:bCs/>
          <w:sz w:val="22"/>
        </w:rPr>
      </w:pPr>
      <w:r w:rsidRPr="00A90145">
        <w:rPr>
          <w:rFonts w:asciiTheme="minorHAnsi" w:hAnsiTheme="minorHAnsi" w:cstheme="minorHAnsi"/>
          <w:b/>
          <w:bCs/>
          <w:sz w:val="22"/>
        </w:rPr>
        <w:t>Purpose</w:t>
      </w:r>
    </w:p>
    <w:p w14:paraId="0C8E42C4" w14:textId="13041453" w:rsidR="005E2789" w:rsidRPr="006E2F6E" w:rsidRDefault="005E2789" w:rsidP="005E2789">
      <w:pPr>
        <w:numPr>
          <w:ilvl w:val="0"/>
          <w:numId w:val="1"/>
        </w:numPr>
        <w:ind w:left="284" w:hanging="284"/>
        <w:jc w:val="both"/>
        <w:rPr>
          <w:rFonts w:asciiTheme="minorHAnsi" w:hAnsiTheme="minorHAnsi" w:cstheme="minorHAnsi"/>
          <w:sz w:val="22"/>
        </w:rPr>
      </w:pPr>
      <w:r w:rsidRPr="00A90145">
        <w:rPr>
          <w:rFonts w:asciiTheme="minorHAnsi" w:hAnsiTheme="minorHAnsi" w:cstheme="minorHAnsi"/>
          <w:sz w:val="22"/>
        </w:rPr>
        <w:t xml:space="preserve">The </w:t>
      </w:r>
      <w:r w:rsidR="00D86233">
        <w:rPr>
          <w:rFonts w:asciiTheme="minorHAnsi" w:hAnsiTheme="minorHAnsi" w:cstheme="minorHAnsi"/>
          <w:sz w:val="22"/>
        </w:rPr>
        <w:t>Newfoundland and Labrador Rugby Union</w:t>
      </w:r>
      <w:r w:rsidR="00D86233" w:rsidRPr="006E2F6E">
        <w:rPr>
          <w:rFonts w:asciiTheme="minorHAnsi" w:hAnsiTheme="minorHAnsi" w:cstheme="minorHAnsi"/>
          <w:sz w:val="22"/>
        </w:rPr>
        <w:t xml:space="preserve"> </w:t>
      </w:r>
      <w:r w:rsidRPr="006E2F6E">
        <w:rPr>
          <w:rFonts w:asciiTheme="minorHAnsi" w:hAnsiTheme="minorHAnsi" w:cstheme="minorHAnsi"/>
          <w:sz w:val="22"/>
        </w:rPr>
        <w:t>and its Members support the principles of Alternate Dispute Resolution (ADR) and are committed to the techniques of negotiation, facilitation, and mediation as effective ways to resolve disputes. ADR also avoids the uncertainty, costs, and other negative effects associated with lengthy appeals or complaints, or with litigation.</w:t>
      </w:r>
    </w:p>
    <w:p w14:paraId="48A410F3" w14:textId="77777777" w:rsidR="005E2789" w:rsidRPr="006E2F6E" w:rsidRDefault="005E2789" w:rsidP="005E2789">
      <w:pPr>
        <w:ind w:left="284" w:hanging="284"/>
        <w:jc w:val="both"/>
        <w:rPr>
          <w:rFonts w:asciiTheme="minorHAnsi" w:hAnsiTheme="minorHAnsi" w:cstheme="minorHAnsi"/>
          <w:sz w:val="22"/>
        </w:rPr>
      </w:pPr>
    </w:p>
    <w:p w14:paraId="592B1983" w14:textId="2AD6B6C2" w:rsidR="005E2789" w:rsidRPr="00A90145" w:rsidRDefault="00D166BD" w:rsidP="005E2789">
      <w:pPr>
        <w:numPr>
          <w:ilvl w:val="0"/>
          <w:numId w:val="1"/>
        </w:numPr>
        <w:ind w:left="284" w:hanging="284"/>
        <w:jc w:val="both"/>
        <w:rPr>
          <w:rFonts w:asciiTheme="minorHAnsi" w:hAnsiTheme="minorHAnsi" w:cstheme="minorHAnsi"/>
          <w:color w:val="000000"/>
          <w:sz w:val="22"/>
        </w:rPr>
      </w:pPr>
      <w:r w:rsidRPr="006E2F6E">
        <w:rPr>
          <w:rFonts w:asciiTheme="minorHAnsi" w:hAnsiTheme="minorHAnsi" w:cstheme="minorHAnsi"/>
          <w:sz w:val="22"/>
        </w:rPr>
        <w:t>The Newfoundland</w:t>
      </w:r>
      <w:r>
        <w:rPr>
          <w:rFonts w:asciiTheme="minorHAnsi" w:hAnsiTheme="minorHAnsi" w:cstheme="minorHAnsi"/>
          <w:sz w:val="22"/>
        </w:rPr>
        <w:t xml:space="preserve"> and Labrador Rugby Union</w:t>
      </w:r>
      <w:r w:rsidRPr="006E2F6E">
        <w:rPr>
          <w:rFonts w:asciiTheme="minorHAnsi" w:hAnsiTheme="minorHAnsi" w:cstheme="minorHAnsi"/>
          <w:sz w:val="22"/>
        </w:rPr>
        <w:t xml:space="preserve"> </w:t>
      </w:r>
      <w:r w:rsidR="005E2789" w:rsidRPr="006E2F6E">
        <w:rPr>
          <w:rFonts w:asciiTheme="minorHAnsi" w:hAnsiTheme="minorHAnsi" w:cstheme="minorHAnsi"/>
          <w:sz w:val="22"/>
        </w:rPr>
        <w:t xml:space="preserve">and its Members </w:t>
      </w:r>
      <w:r w:rsidR="005E2789" w:rsidRPr="00A90145">
        <w:rPr>
          <w:rFonts w:asciiTheme="minorHAnsi" w:hAnsiTheme="minorHAnsi" w:cstheme="minorHAnsi"/>
          <w:sz w:val="22"/>
        </w:rPr>
        <w:t xml:space="preserve">encourage all Individuals to communicate openly, and to collaborate and use problem-solving and negotiation techniques to resolve their differences. </w:t>
      </w:r>
      <w:r w:rsidR="005E2789" w:rsidRPr="00A90145">
        <w:rPr>
          <w:rFonts w:asciiTheme="minorHAnsi" w:hAnsiTheme="minorHAnsi" w:cstheme="minorHAnsi"/>
          <w:color w:val="000000"/>
          <w:sz w:val="22"/>
        </w:rPr>
        <w:t>The Organization</w:t>
      </w:r>
      <w:r w:rsidR="005E2789" w:rsidRPr="00A90145">
        <w:rPr>
          <w:rFonts w:asciiTheme="minorHAnsi" w:hAnsiTheme="minorHAnsi" w:cstheme="minorHAnsi"/>
          <w:sz w:val="22"/>
        </w:rPr>
        <w:t xml:space="preserve"> and its Members believe that negotiated settlements are most often preferable to arbitrated outcomes. Negotiated resolutions to disputes with and among Individuals are strongly encouraged.</w:t>
      </w:r>
    </w:p>
    <w:p w14:paraId="657E8B42" w14:textId="77777777" w:rsidR="005E2789" w:rsidRPr="00A90145" w:rsidRDefault="005E2789" w:rsidP="005E2789">
      <w:pPr>
        <w:ind w:left="284" w:hanging="284"/>
        <w:rPr>
          <w:rFonts w:asciiTheme="minorHAnsi" w:hAnsiTheme="minorHAnsi" w:cstheme="minorHAnsi"/>
          <w:sz w:val="22"/>
        </w:rPr>
      </w:pPr>
    </w:p>
    <w:p w14:paraId="42B1468E" w14:textId="77777777" w:rsidR="005E2789" w:rsidRPr="00A90145" w:rsidRDefault="005E2789" w:rsidP="005E2789">
      <w:pPr>
        <w:ind w:left="284" w:hanging="284"/>
        <w:rPr>
          <w:rFonts w:asciiTheme="minorHAnsi" w:hAnsiTheme="minorHAnsi" w:cstheme="minorHAnsi"/>
          <w:sz w:val="22"/>
        </w:rPr>
      </w:pPr>
      <w:r w:rsidRPr="00A90145">
        <w:rPr>
          <w:rFonts w:asciiTheme="minorHAnsi" w:hAnsiTheme="minorHAnsi" w:cstheme="minorHAnsi"/>
          <w:b/>
          <w:bCs/>
          <w:sz w:val="22"/>
        </w:rPr>
        <w:t>Application of this Policy</w:t>
      </w:r>
    </w:p>
    <w:p w14:paraId="25EC9ECA" w14:textId="77777777" w:rsidR="005E2789" w:rsidRPr="00A90145" w:rsidRDefault="005E2789" w:rsidP="005E2789">
      <w:pPr>
        <w:numPr>
          <w:ilvl w:val="0"/>
          <w:numId w:val="1"/>
        </w:numPr>
        <w:ind w:left="284" w:hanging="284"/>
        <w:jc w:val="both"/>
        <w:rPr>
          <w:rFonts w:asciiTheme="minorHAnsi" w:hAnsiTheme="minorHAnsi" w:cstheme="minorHAnsi"/>
          <w:color w:val="000000"/>
          <w:sz w:val="22"/>
        </w:rPr>
      </w:pPr>
      <w:r w:rsidRPr="00A90145">
        <w:rPr>
          <w:rFonts w:asciiTheme="minorHAnsi" w:hAnsiTheme="minorHAnsi" w:cstheme="minorHAnsi"/>
          <w:sz w:val="22"/>
        </w:rPr>
        <w:t>This Policy applies to all Individuals.</w:t>
      </w:r>
    </w:p>
    <w:p w14:paraId="01945FC3" w14:textId="77777777" w:rsidR="005E2789" w:rsidRPr="00A90145" w:rsidRDefault="005E2789" w:rsidP="005E2789">
      <w:pPr>
        <w:pStyle w:val="ListParagraph"/>
        <w:ind w:left="284" w:hanging="284"/>
        <w:rPr>
          <w:rFonts w:asciiTheme="minorHAnsi" w:hAnsiTheme="minorHAnsi" w:cstheme="minorHAnsi"/>
          <w:color w:val="000000"/>
          <w:sz w:val="22"/>
        </w:rPr>
      </w:pPr>
    </w:p>
    <w:p w14:paraId="342A6E0B" w14:textId="77777777" w:rsidR="005E2789" w:rsidRPr="00A90145" w:rsidRDefault="005E2789" w:rsidP="005E2789">
      <w:pPr>
        <w:numPr>
          <w:ilvl w:val="0"/>
          <w:numId w:val="1"/>
        </w:numPr>
        <w:ind w:left="284" w:hanging="284"/>
        <w:jc w:val="both"/>
        <w:rPr>
          <w:rFonts w:asciiTheme="minorHAnsi" w:hAnsiTheme="minorHAnsi" w:cstheme="minorHAnsi"/>
          <w:color w:val="000000"/>
          <w:sz w:val="22"/>
        </w:rPr>
      </w:pPr>
      <w:r w:rsidRPr="00A90145">
        <w:rPr>
          <w:rFonts w:asciiTheme="minorHAnsi" w:hAnsiTheme="minorHAnsi" w:cstheme="minorHAnsi"/>
          <w:color w:val="000000"/>
          <w:sz w:val="22"/>
        </w:rPr>
        <w:t>Opportunities for ADR may be pursued at any point in a dispute when all parties to the dispute agree that such a course of action would be mutually beneficial.</w:t>
      </w:r>
    </w:p>
    <w:p w14:paraId="5ACC6A4C" w14:textId="77777777" w:rsidR="005E2789" w:rsidRPr="00A90145" w:rsidRDefault="005E2789" w:rsidP="005E2789">
      <w:pPr>
        <w:ind w:left="284" w:hanging="284"/>
        <w:jc w:val="both"/>
        <w:rPr>
          <w:rFonts w:asciiTheme="minorHAnsi" w:hAnsiTheme="minorHAnsi" w:cstheme="minorHAnsi"/>
          <w:color w:val="000000"/>
          <w:sz w:val="22"/>
        </w:rPr>
      </w:pPr>
    </w:p>
    <w:p w14:paraId="6F16C3D4" w14:textId="77777777" w:rsidR="005E2789" w:rsidRPr="00A90145" w:rsidRDefault="005E2789" w:rsidP="005E2789">
      <w:pPr>
        <w:ind w:left="284" w:hanging="284"/>
        <w:jc w:val="both"/>
        <w:rPr>
          <w:rFonts w:asciiTheme="minorHAnsi" w:hAnsiTheme="minorHAnsi" w:cstheme="minorHAnsi"/>
          <w:b/>
          <w:bCs/>
          <w:sz w:val="22"/>
        </w:rPr>
      </w:pPr>
      <w:r w:rsidRPr="00A90145">
        <w:rPr>
          <w:rFonts w:asciiTheme="minorHAnsi" w:hAnsiTheme="minorHAnsi" w:cstheme="minorHAnsi"/>
          <w:b/>
          <w:bCs/>
          <w:sz w:val="22"/>
        </w:rPr>
        <w:t>Facilitation and Mediation</w:t>
      </w:r>
    </w:p>
    <w:p w14:paraId="576398EC" w14:textId="77777777" w:rsidR="005E2789" w:rsidRPr="00A90145" w:rsidRDefault="005E2789" w:rsidP="005E2789">
      <w:pPr>
        <w:pStyle w:val="ListParagraph"/>
        <w:numPr>
          <w:ilvl w:val="0"/>
          <w:numId w:val="1"/>
        </w:numPr>
        <w:jc w:val="both"/>
        <w:rPr>
          <w:rFonts w:asciiTheme="minorHAnsi" w:hAnsiTheme="minorHAnsi" w:cstheme="minorHAnsi"/>
          <w:color w:val="000000"/>
          <w:sz w:val="22"/>
        </w:rPr>
      </w:pPr>
      <w:r w:rsidRPr="00A90145">
        <w:rPr>
          <w:rFonts w:asciiTheme="minorHAnsi" w:hAnsiTheme="minorHAnsi" w:cstheme="minorHAnsi"/>
          <w:color w:val="000000"/>
          <w:sz w:val="22"/>
        </w:rPr>
        <w:t>If all parties to a dispute agree to ADR, a mediator or facilitator, acceptable to all parties, shall be appointed to mediate or facilitate the dispute.</w:t>
      </w:r>
    </w:p>
    <w:p w14:paraId="22EE67C8" w14:textId="77777777" w:rsidR="005E2789" w:rsidRPr="00A90145" w:rsidRDefault="005E2789" w:rsidP="005E2789">
      <w:pPr>
        <w:ind w:left="284" w:hanging="284"/>
        <w:jc w:val="both"/>
        <w:rPr>
          <w:rFonts w:asciiTheme="minorHAnsi" w:hAnsiTheme="minorHAnsi" w:cstheme="minorHAnsi"/>
          <w:color w:val="000000"/>
          <w:sz w:val="22"/>
        </w:rPr>
      </w:pPr>
    </w:p>
    <w:p w14:paraId="2F103987" w14:textId="77777777" w:rsidR="005E2789" w:rsidRPr="00A90145" w:rsidRDefault="005E2789" w:rsidP="005E2789">
      <w:pPr>
        <w:numPr>
          <w:ilvl w:val="0"/>
          <w:numId w:val="1"/>
        </w:numPr>
        <w:ind w:left="284" w:hanging="284"/>
        <w:jc w:val="both"/>
        <w:rPr>
          <w:rFonts w:asciiTheme="minorHAnsi" w:hAnsiTheme="minorHAnsi" w:cstheme="minorHAnsi"/>
          <w:color w:val="000000"/>
          <w:sz w:val="22"/>
        </w:rPr>
      </w:pPr>
      <w:r w:rsidRPr="00A90145">
        <w:rPr>
          <w:rFonts w:asciiTheme="minorHAnsi" w:hAnsiTheme="minorHAnsi" w:cstheme="minorHAnsi"/>
          <w:color w:val="000000"/>
          <w:sz w:val="22"/>
        </w:rPr>
        <w:t>The mediator or facilitator shall decide the format under which the dispute shall be mediated or facilitated and may, if they consider it appropriate, specify a deadline before which the parties must reach a negotiated decision.</w:t>
      </w:r>
    </w:p>
    <w:p w14:paraId="1C7BA9AA" w14:textId="77777777" w:rsidR="005E2789" w:rsidRPr="00A90145" w:rsidRDefault="005E2789" w:rsidP="005E2789">
      <w:pPr>
        <w:ind w:left="284" w:hanging="284"/>
        <w:jc w:val="both"/>
        <w:rPr>
          <w:rFonts w:asciiTheme="minorHAnsi" w:hAnsiTheme="minorHAnsi" w:cstheme="minorHAnsi"/>
          <w:color w:val="000000"/>
          <w:sz w:val="22"/>
        </w:rPr>
      </w:pPr>
    </w:p>
    <w:p w14:paraId="4F28AC62" w14:textId="77777777" w:rsidR="005E2789" w:rsidRPr="006E2F6E" w:rsidRDefault="005E2789" w:rsidP="005E2789">
      <w:pPr>
        <w:numPr>
          <w:ilvl w:val="0"/>
          <w:numId w:val="1"/>
        </w:numPr>
        <w:ind w:left="284" w:hanging="284"/>
        <w:jc w:val="both"/>
        <w:rPr>
          <w:rFonts w:asciiTheme="minorHAnsi" w:hAnsiTheme="minorHAnsi" w:cstheme="minorHAnsi"/>
          <w:sz w:val="22"/>
        </w:rPr>
      </w:pPr>
      <w:r w:rsidRPr="00A90145">
        <w:rPr>
          <w:rFonts w:asciiTheme="minorHAnsi" w:hAnsiTheme="minorHAnsi" w:cstheme="minorHAnsi"/>
          <w:color w:val="000000"/>
          <w:sz w:val="22"/>
        </w:rPr>
        <w:t xml:space="preserve">Should a negotiated settlement be </w:t>
      </w:r>
      <w:r w:rsidRPr="006E2F6E">
        <w:rPr>
          <w:rFonts w:asciiTheme="minorHAnsi" w:hAnsiTheme="minorHAnsi" w:cstheme="minorHAnsi"/>
          <w:sz w:val="22"/>
        </w:rPr>
        <w:t>reached, the settlement shall be reported to the Organization or the Member (as applicable). Any actions that are to take place as a result of the decision shall be enacted on the timelines specified by the negotiated decision, pending approval of the Organization or the Member (as applicable).</w:t>
      </w:r>
    </w:p>
    <w:p w14:paraId="666A0C55" w14:textId="77777777" w:rsidR="005E2789" w:rsidRPr="00A90145" w:rsidRDefault="005E2789" w:rsidP="005E2789">
      <w:pPr>
        <w:ind w:left="284" w:hanging="284"/>
        <w:jc w:val="both"/>
        <w:rPr>
          <w:rFonts w:asciiTheme="minorHAnsi" w:hAnsiTheme="minorHAnsi" w:cstheme="minorHAnsi"/>
          <w:color w:val="000000"/>
          <w:sz w:val="22"/>
        </w:rPr>
      </w:pPr>
    </w:p>
    <w:p w14:paraId="0D6805D4" w14:textId="77777777" w:rsidR="005E2789" w:rsidRPr="00A90145" w:rsidRDefault="005E2789" w:rsidP="005E2789">
      <w:pPr>
        <w:numPr>
          <w:ilvl w:val="0"/>
          <w:numId w:val="1"/>
        </w:numPr>
        <w:ind w:left="284" w:hanging="284"/>
        <w:jc w:val="both"/>
        <w:rPr>
          <w:rFonts w:asciiTheme="minorHAnsi" w:hAnsiTheme="minorHAnsi" w:cstheme="minorHAnsi"/>
          <w:color w:val="000000"/>
          <w:sz w:val="22"/>
        </w:rPr>
      </w:pPr>
      <w:r w:rsidRPr="00A90145">
        <w:rPr>
          <w:rFonts w:asciiTheme="minorHAnsi" w:hAnsiTheme="minorHAnsi" w:cstheme="minorHAnsi"/>
          <w:color w:val="000000"/>
          <w:sz w:val="22"/>
        </w:rPr>
        <w:t xml:space="preserve">Should a negotiated settlement not be reached by the deadline specified by the mediator or facilitator at the start of the process (if set), or if the parties to the dispute do not agree to ADR, the dispute shall be considered under the appropriate section of the </w:t>
      </w:r>
      <w:r w:rsidRPr="00A90145">
        <w:rPr>
          <w:rFonts w:asciiTheme="minorHAnsi" w:hAnsiTheme="minorHAnsi" w:cstheme="minorHAnsi"/>
          <w:i/>
          <w:color w:val="000000"/>
          <w:sz w:val="22"/>
        </w:rPr>
        <w:t xml:space="preserve">Discipline and Complaints Policy </w:t>
      </w:r>
      <w:r w:rsidRPr="00A90145">
        <w:rPr>
          <w:rFonts w:asciiTheme="minorHAnsi" w:hAnsiTheme="minorHAnsi" w:cstheme="minorHAnsi"/>
          <w:color w:val="000000"/>
          <w:sz w:val="22"/>
        </w:rPr>
        <w:t>or</w:t>
      </w:r>
      <w:r w:rsidRPr="00A90145">
        <w:rPr>
          <w:rFonts w:asciiTheme="minorHAnsi" w:hAnsiTheme="minorHAnsi" w:cstheme="minorHAnsi"/>
          <w:i/>
          <w:color w:val="000000"/>
          <w:sz w:val="22"/>
        </w:rPr>
        <w:t xml:space="preserve"> Appeal Policy, </w:t>
      </w:r>
      <w:r w:rsidRPr="00A90145">
        <w:rPr>
          <w:rFonts w:asciiTheme="minorHAnsi" w:hAnsiTheme="minorHAnsi" w:cstheme="minorHAnsi"/>
          <w:color w:val="000000"/>
          <w:sz w:val="22"/>
        </w:rPr>
        <w:t>as applicable.</w:t>
      </w:r>
    </w:p>
    <w:p w14:paraId="6AB44D89" w14:textId="77777777" w:rsidR="005E2789" w:rsidRPr="00A90145" w:rsidRDefault="005E2789" w:rsidP="005E2789">
      <w:pPr>
        <w:ind w:left="284" w:hanging="284"/>
        <w:jc w:val="both"/>
        <w:rPr>
          <w:rFonts w:asciiTheme="minorHAnsi" w:hAnsiTheme="minorHAnsi" w:cstheme="minorHAnsi"/>
          <w:color w:val="000000"/>
          <w:sz w:val="22"/>
        </w:rPr>
      </w:pPr>
    </w:p>
    <w:p w14:paraId="220F7177" w14:textId="77777777" w:rsidR="005E2789" w:rsidRPr="00A90145" w:rsidRDefault="005E2789" w:rsidP="005E2789">
      <w:pPr>
        <w:ind w:left="284" w:hanging="284"/>
        <w:jc w:val="both"/>
        <w:rPr>
          <w:rFonts w:asciiTheme="minorHAnsi" w:hAnsiTheme="minorHAnsi" w:cstheme="minorHAnsi"/>
          <w:b/>
          <w:bCs/>
          <w:sz w:val="22"/>
        </w:rPr>
      </w:pPr>
      <w:r w:rsidRPr="00A90145">
        <w:rPr>
          <w:rFonts w:asciiTheme="minorHAnsi" w:hAnsiTheme="minorHAnsi" w:cstheme="minorHAnsi"/>
          <w:b/>
          <w:bCs/>
          <w:sz w:val="22"/>
        </w:rPr>
        <w:t>Final and Binding</w:t>
      </w:r>
    </w:p>
    <w:p w14:paraId="45809CE6" w14:textId="77777777" w:rsidR="005E2789" w:rsidRPr="00A90145" w:rsidRDefault="005E2789" w:rsidP="005E2789">
      <w:pPr>
        <w:pStyle w:val="ListParagraph"/>
        <w:numPr>
          <w:ilvl w:val="0"/>
          <w:numId w:val="1"/>
        </w:numPr>
        <w:jc w:val="both"/>
        <w:rPr>
          <w:rFonts w:asciiTheme="minorHAnsi" w:hAnsiTheme="minorHAnsi" w:cstheme="minorHAnsi"/>
          <w:sz w:val="22"/>
        </w:rPr>
      </w:pPr>
      <w:r w:rsidRPr="00A90145">
        <w:rPr>
          <w:rFonts w:asciiTheme="minorHAnsi" w:hAnsiTheme="minorHAnsi" w:cstheme="minorHAnsi"/>
          <w:color w:val="000000"/>
          <w:sz w:val="22"/>
        </w:rPr>
        <w:t>Any negotiated settlement will be binding on the parties. Negotiated settlements may not be appealed.</w:t>
      </w:r>
    </w:p>
    <w:p w14:paraId="72100602" w14:textId="77777777" w:rsidR="005E2789" w:rsidRPr="00A90145" w:rsidRDefault="005E2789" w:rsidP="005E2789">
      <w:pPr>
        <w:pStyle w:val="Body"/>
        <w:spacing w:before="0" w:after="0" w:line="240" w:lineRule="auto"/>
        <w:contextualSpacing/>
        <w:rPr>
          <w:rFonts w:cstheme="minorHAnsi"/>
          <w:b/>
          <w:color w:val="000000"/>
          <w:sz w:val="22"/>
          <w:szCs w:val="22"/>
        </w:rPr>
      </w:pPr>
    </w:p>
    <w:tbl>
      <w:tblPr>
        <w:tblStyle w:val="TableGrid"/>
        <w:tblW w:w="0" w:type="auto"/>
        <w:tblLook w:val="04A0" w:firstRow="1" w:lastRow="0" w:firstColumn="1" w:lastColumn="0" w:noHBand="0" w:noVBand="1"/>
      </w:tblPr>
      <w:tblGrid>
        <w:gridCol w:w="2425"/>
        <w:gridCol w:w="1710"/>
      </w:tblGrid>
      <w:tr w:rsidR="005E2789" w:rsidRPr="00A90145" w14:paraId="4372A3AD" w14:textId="77777777" w:rsidTr="00CF4698">
        <w:tc>
          <w:tcPr>
            <w:tcW w:w="4135" w:type="dxa"/>
            <w:gridSpan w:val="2"/>
          </w:tcPr>
          <w:p w14:paraId="6BC36E7D" w14:textId="77777777" w:rsidR="005E2789" w:rsidRPr="00A90145" w:rsidRDefault="005E2789" w:rsidP="00CF4698">
            <w:pPr>
              <w:pStyle w:val="Body"/>
              <w:spacing w:before="0" w:after="0" w:line="240" w:lineRule="auto"/>
              <w:contextualSpacing/>
              <w:jc w:val="center"/>
              <w:rPr>
                <w:rFonts w:cstheme="minorHAnsi"/>
                <w:b/>
                <w:color w:val="000000"/>
                <w:sz w:val="22"/>
                <w:szCs w:val="22"/>
              </w:rPr>
            </w:pPr>
            <w:r w:rsidRPr="00A90145">
              <w:rPr>
                <w:rFonts w:cstheme="minorHAnsi"/>
                <w:b/>
                <w:color w:val="000000"/>
                <w:sz w:val="22"/>
                <w:szCs w:val="22"/>
              </w:rPr>
              <w:t>Policy History</w:t>
            </w:r>
          </w:p>
        </w:tc>
      </w:tr>
      <w:tr w:rsidR="005E2789" w:rsidRPr="00A90145" w14:paraId="0B687FD9" w14:textId="77777777" w:rsidTr="00CF4698">
        <w:tc>
          <w:tcPr>
            <w:tcW w:w="2425" w:type="dxa"/>
          </w:tcPr>
          <w:p w14:paraId="1FFDFDD7" w14:textId="77777777" w:rsidR="005E2789" w:rsidRPr="00A90145" w:rsidRDefault="005E2789" w:rsidP="00CF4698">
            <w:pPr>
              <w:pStyle w:val="Body"/>
              <w:spacing w:before="0" w:after="0" w:line="240" w:lineRule="auto"/>
              <w:contextualSpacing/>
              <w:rPr>
                <w:rFonts w:cstheme="minorHAnsi"/>
                <w:color w:val="000000"/>
                <w:sz w:val="22"/>
                <w:szCs w:val="22"/>
              </w:rPr>
            </w:pPr>
            <w:r w:rsidRPr="00A90145">
              <w:rPr>
                <w:rFonts w:cstheme="minorHAnsi"/>
                <w:color w:val="000000"/>
                <w:sz w:val="22"/>
                <w:szCs w:val="22"/>
              </w:rPr>
              <w:t>Approved</w:t>
            </w:r>
          </w:p>
        </w:tc>
        <w:tc>
          <w:tcPr>
            <w:tcW w:w="1710" w:type="dxa"/>
          </w:tcPr>
          <w:p w14:paraId="6DFFDA59" w14:textId="77777777" w:rsidR="005E2789" w:rsidRPr="00A90145" w:rsidRDefault="005E2789" w:rsidP="00CF4698">
            <w:pPr>
              <w:pStyle w:val="Body"/>
              <w:spacing w:before="0" w:after="0" w:line="240" w:lineRule="auto"/>
              <w:contextualSpacing/>
              <w:rPr>
                <w:rFonts w:cstheme="minorHAnsi"/>
                <w:b/>
                <w:color w:val="000000"/>
                <w:sz w:val="22"/>
                <w:szCs w:val="22"/>
              </w:rPr>
            </w:pPr>
          </w:p>
        </w:tc>
      </w:tr>
      <w:tr w:rsidR="005E2789" w:rsidRPr="00A90145" w14:paraId="1E8000A6" w14:textId="77777777" w:rsidTr="00CF4698">
        <w:tc>
          <w:tcPr>
            <w:tcW w:w="2425" w:type="dxa"/>
          </w:tcPr>
          <w:p w14:paraId="42FD5085" w14:textId="77777777" w:rsidR="005E2789" w:rsidRPr="00A90145" w:rsidRDefault="005E2789" w:rsidP="00CF4698">
            <w:pPr>
              <w:pStyle w:val="Body"/>
              <w:spacing w:before="0" w:after="0" w:line="240" w:lineRule="auto"/>
              <w:contextualSpacing/>
              <w:rPr>
                <w:rFonts w:cstheme="minorHAnsi"/>
                <w:color w:val="000000"/>
                <w:sz w:val="22"/>
                <w:szCs w:val="22"/>
              </w:rPr>
            </w:pPr>
            <w:r w:rsidRPr="00A90145">
              <w:rPr>
                <w:rFonts w:cstheme="minorHAnsi"/>
                <w:color w:val="000000"/>
                <w:sz w:val="22"/>
                <w:szCs w:val="22"/>
              </w:rPr>
              <w:t>Next Review Date</w:t>
            </w:r>
          </w:p>
        </w:tc>
        <w:tc>
          <w:tcPr>
            <w:tcW w:w="1710" w:type="dxa"/>
          </w:tcPr>
          <w:p w14:paraId="0B06C9FF" w14:textId="77777777" w:rsidR="005E2789" w:rsidRPr="00A90145" w:rsidRDefault="005E2789" w:rsidP="00CF4698">
            <w:pPr>
              <w:pStyle w:val="Body"/>
              <w:spacing w:before="0" w:after="0" w:line="240" w:lineRule="auto"/>
              <w:contextualSpacing/>
              <w:rPr>
                <w:rFonts w:cstheme="minorHAnsi"/>
                <w:b/>
                <w:color w:val="000000"/>
                <w:sz w:val="22"/>
                <w:szCs w:val="22"/>
              </w:rPr>
            </w:pPr>
          </w:p>
        </w:tc>
      </w:tr>
      <w:tr w:rsidR="005E2789" w:rsidRPr="00A90145" w14:paraId="5623DE9D" w14:textId="77777777" w:rsidTr="00CF4698">
        <w:tc>
          <w:tcPr>
            <w:tcW w:w="2425" w:type="dxa"/>
          </w:tcPr>
          <w:p w14:paraId="2FA59EF2" w14:textId="77777777" w:rsidR="005E2789" w:rsidRPr="00A90145" w:rsidRDefault="005E2789" w:rsidP="00CF4698">
            <w:pPr>
              <w:pStyle w:val="Body"/>
              <w:spacing w:before="0" w:after="0" w:line="240" w:lineRule="auto"/>
              <w:contextualSpacing/>
              <w:rPr>
                <w:rFonts w:cstheme="minorHAnsi"/>
                <w:color w:val="000000"/>
                <w:sz w:val="22"/>
                <w:szCs w:val="22"/>
              </w:rPr>
            </w:pPr>
            <w:r w:rsidRPr="00A90145">
              <w:rPr>
                <w:rFonts w:cstheme="minorHAnsi"/>
                <w:color w:val="000000"/>
                <w:sz w:val="22"/>
                <w:szCs w:val="22"/>
              </w:rPr>
              <w:t>Revision Approval Dates</w:t>
            </w:r>
          </w:p>
        </w:tc>
        <w:tc>
          <w:tcPr>
            <w:tcW w:w="1710" w:type="dxa"/>
          </w:tcPr>
          <w:p w14:paraId="7FCF7E0E" w14:textId="77777777" w:rsidR="005E2789" w:rsidRPr="00A90145" w:rsidRDefault="005E2789" w:rsidP="00CF4698">
            <w:pPr>
              <w:pStyle w:val="Body"/>
              <w:spacing w:before="0" w:after="0" w:line="240" w:lineRule="auto"/>
              <w:contextualSpacing/>
              <w:rPr>
                <w:rFonts w:cstheme="minorHAnsi"/>
                <w:b/>
                <w:color w:val="000000"/>
                <w:sz w:val="22"/>
                <w:szCs w:val="22"/>
              </w:rPr>
            </w:pPr>
          </w:p>
        </w:tc>
      </w:tr>
    </w:tbl>
    <w:p w14:paraId="39200CB8" w14:textId="77777777" w:rsidR="005E2789" w:rsidRPr="00A90145" w:rsidRDefault="005E2789" w:rsidP="005E2789">
      <w:pPr>
        <w:pStyle w:val="Body"/>
        <w:spacing w:before="0" w:after="0" w:line="240" w:lineRule="auto"/>
        <w:contextualSpacing/>
        <w:rPr>
          <w:rFonts w:cstheme="minorHAnsi"/>
          <w:b/>
          <w:color w:val="000000"/>
          <w:sz w:val="22"/>
          <w:szCs w:val="22"/>
        </w:rPr>
      </w:pPr>
    </w:p>
    <w:p w14:paraId="62B4C57B" w14:textId="77777777" w:rsidR="00B1153E" w:rsidRDefault="00B1153E"/>
    <w:sectPr w:rsidR="00B1153E" w:rsidSect="00D166B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706B"/>
    <w:multiLevelType w:val="hybridMultilevel"/>
    <w:tmpl w:val="D638B160"/>
    <w:lvl w:ilvl="0" w:tplc="7BD63650">
      <w:start w:val="1"/>
      <w:numFmt w:val="decimal"/>
      <w:lvlText w:val="%1."/>
      <w:lvlJc w:val="left"/>
      <w:pPr>
        <w:tabs>
          <w:tab w:val="num" w:pos="360"/>
        </w:tabs>
        <w:ind w:left="36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5761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89"/>
    <w:rsid w:val="000E0D7C"/>
    <w:rsid w:val="0025457E"/>
    <w:rsid w:val="004926F3"/>
    <w:rsid w:val="005E2789"/>
    <w:rsid w:val="008C33D2"/>
    <w:rsid w:val="00927990"/>
    <w:rsid w:val="00B1153E"/>
    <w:rsid w:val="00D166BD"/>
    <w:rsid w:val="00D86233"/>
    <w:rsid w:val="00E714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B148BB7"/>
  <w15:chartTrackingRefBased/>
  <w15:docId w15:val="{F01D59A7-A0B9-0847-8333-2651C9A1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89"/>
    <w:pPr>
      <w:spacing w:after="0" w:line="240" w:lineRule="auto"/>
      <w:contextualSpacing/>
    </w:pPr>
    <w:rPr>
      <w:rFonts w:ascii="Calibri" w:eastAsia="Calibri" w:hAnsi="Calibri" w:cs="Times New Roman"/>
      <w:kern w:val="0"/>
      <w:szCs w:val="22"/>
      <w:lang w:bidi="en-US"/>
      <w14:ligatures w14:val="none"/>
    </w:rPr>
  </w:style>
  <w:style w:type="paragraph" w:styleId="Heading1">
    <w:name w:val="heading 1"/>
    <w:basedOn w:val="Normal"/>
    <w:next w:val="Normal"/>
    <w:link w:val="Heading1Char"/>
    <w:uiPriority w:val="9"/>
    <w:qFormat/>
    <w:rsid w:val="005E2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7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7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7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7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789"/>
    <w:rPr>
      <w:rFonts w:eastAsiaTheme="majorEastAsia" w:cstheme="majorBidi"/>
      <w:color w:val="272727" w:themeColor="text1" w:themeTint="D8"/>
    </w:rPr>
  </w:style>
  <w:style w:type="paragraph" w:styleId="Title">
    <w:name w:val="Title"/>
    <w:basedOn w:val="Normal"/>
    <w:next w:val="Normal"/>
    <w:link w:val="TitleChar"/>
    <w:uiPriority w:val="10"/>
    <w:qFormat/>
    <w:rsid w:val="005E2789"/>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789"/>
    <w:pPr>
      <w:spacing w:before="160"/>
      <w:jc w:val="center"/>
    </w:pPr>
    <w:rPr>
      <w:i/>
      <w:iCs/>
      <w:color w:val="404040" w:themeColor="text1" w:themeTint="BF"/>
    </w:rPr>
  </w:style>
  <w:style w:type="character" w:customStyle="1" w:styleId="QuoteChar">
    <w:name w:val="Quote Char"/>
    <w:basedOn w:val="DefaultParagraphFont"/>
    <w:link w:val="Quote"/>
    <w:uiPriority w:val="29"/>
    <w:rsid w:val="005E2789"/>
    <w:rPr>
      <w:i/>
      <w:iCs/>
      <w:color w:val="404040" w:themeColor="text1" w:themeTint="BF"/>
    </w:rPr>
  </w:style>
  <w:style w:type="paragraph" w:styleId="ListParagraph">
    <w:name w:val="List Paragraph"/>
    <w:basedOn w:val="Normal"/>
    <w:uiPriority w:val="34"/>
    <w:qFormat/>
    <w:rsid w:val="005E2789"/>
    <w:pPr>
      <w:ind w:left="720"/>
    </w:pPr>
  </w:style>
  <w:style w:type="character" w:styleId="IntenseEmphasis">
    <w:name w:val="Intense Emphasis"/>
    <w:basedOn w:val="DefaultParagraphFont"/>
    <w:uiPriority w:val="21"/>
    <w:qFormat/>
    <w:rsid w:val="005E2789"/>
    <w:rPr>
      <w:i/>
      <w:iCs/>
      <w:color w:val="0F4761" w:themeColor="accent1" w:themeShade="BF"/>
    </w:rPr>
  </w:style>
  <w:style w:type="paragraph" w:styleId="IntenseQuote">
    <w:name w:val="Intense Quote"/>
    <w:basedOn w:val="Normal"/>
    <w:next w:val="Normal"/>
    <w:link w:val="IntenseQuoteChar"/>
    <w:uiPriority w:val="30"/>
    <w:qFormat/>
    <w:rsid w:val="005E2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789"/>
    <w:rPr>
      <w:i/>
      <w:iCs/>
      <w:color w:val="0F4761" w:themeColor="accent1" w:themeShade="BF"/>
    </w:rPr>
  </w:style>
  <w:style w:type="character" w:styleId="IntenseReference">
    <w:name w:val="Intense Reference"/>
    <w:basedOn w:val="DefaultParagraphFont"/>
    <w:uiPriority w:val="32"/>
    <w:qFormat/>
    <w:rsid w:val="005E2789"/>
    <w:rPr>
      <w:b/>
      <w:bCs/>
      <w:smallCaps/>
      <w:color w:val="0F4761" w:themeColor="accent1" w:themeShade="BF"/>
      <w:spacing w:val="5"/>
    </w:rPr>
  </w:style>
  <w:style w:type="character" w:customStyle="1" w:styleId="BodyChar">
    <w:name w:val="Body Char"/>
    <w:basedOn w:val="DefaultParagraphFont"/>
    <w:link w:val="Body"/>
    <w:locked/>
    <w:rsid w:val="005E2789"/>
    <w:rPr>
      <w:rFonts w:cs="Arial"/>
    </w:rPr>
  </w:style>
  <w:style w:type="paragraph" w:customStyle="1" w:styleId="Body">
    <w:name w:val="Body"/>
    <w:basedOn w:val="Normal"/>
    <w:link w:val="BodyChar"/>
    <w:qFormat/>
    <w:rsid w:val="005E2789"/>
    <w:pPr>
      <w:spacing w:before="60" w:after="60" w:line="288" w:lineRule="auto"/>
      <w:contextualSpacing w:val="0"/>
    </w:pPr>
    <w:rPr>
      <w:rFonts w:asciiTheme="minorHAnsi" w:eastAsiaTheme="minorHAnsi" w:hAnsiTheme="minorHAnsi" w:cs="Arial"/>
      <w:kern w:val="2"/>
      <w:szCs w:val="24"/>
      <w:lang w:bidi="ar-SA"/>
      <w14:ligatures w14:val="standardContextual"/>
    </w:rPr>
  </w:style>
  <w:style w:type="table" w:styleId="TableGrid">
    <w:name w:val="Table Grid"/>
    <w:basedOn w:val="TableNormal"/>
    <w:uiPriority w:val="59"/>
    <w:rsid w:val="005E2789"/>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1983</Characters>
  <Application>Microsoft Office Word</Application>
  <DocSecurity>0</DocSecurity>
  <Lines>53</Lines>
  <Paragraphs>22</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Butler</dc:creator>
  <cp:keywords/>
  <dc:description/>
  <cp:lastModifiedBy>Roxanne Butler</cp:lastModifiedBy>
  <cp:revision>4</cp:revision>
  <dcterms:created xsi:type="dcterms:W3CDTF">2026-01-04T23:00:00Z</dcterms:created>
  <dcterms:modified xsi:type="dcterms:W3CDTF">2026-01-04T23:06:00Z</dcterms:modified>
</cp:coreProperties>
</file>