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114300</wp:posOffset>
            </wp:positionV>
            <wp:extent cx="1162050" cy="14954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7204" r="1720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72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Sherwood Park Titans Lacrosse</w:t>
      </w:r>
    </w:p>
    <w:p w:rsidR="00000000" w:rsidDel="00000000" w:rsidP="00000000" w:rsidRDefault="00000000" w:rsidRPr="00000000" w14:paraId="00000003">
      <w:pPr>
        <w:ind w:left="1440" w:firstLine="72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Coach Code of Conduct (Updated 2026)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6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All coaches and bench staff must comply with this Code of Conduct as a condition of participation with SPTLA.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Governance Acknowledgment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As a participant with Sherwood Park Titans Lacrosse Association (SPTLA), I acknowledge and agree to comply with: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SPTLA Bylaws and all SPTLA Policies &amp; Procedures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applicable GELC, ALA, and Lacrosse Canada regulations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Alberta Universal Code of Conduct (AB UCC)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Alberta Safe Sport requirements</w:t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t xml:space="preserve">As they apply to my participation, and as amended from time to time.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Electronic acknowledgment of this Code of Conduct through the SPTLA registration platform constitutes binding agreement to abide by this Code of Conduct and all governing policies referenced above.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psu5eekd4886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Coach Responsibilities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will promote athlete development, enjoyment, safety, and respect.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maintain required certifications, screening, and training requirements.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adhere to Safe Sport principles, including the Rule of Two.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provide equitable instruction, discipline, and support.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model professionalism and respect toward players, parents, officials, volunteers, and fellow coaches.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not engage in abuse, harassment, discrimination, retaliation, or inappropriate conduct.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understand that serious conduct matters may fall under ALA and/or ABSSCM jurisdiction.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understand that SPTLA may impose interim measures, including suspension or removal, pending review of conduct concerns.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Failure to comply with this Code of Conduct may result in disciplinary action, up to and including suspension, removal, or expulsion, in accordance with the SPTLA Discipline &amp; Complaints Policy and applicable governing body policies, and certain conduct matters may be referred to the Alberta Lacrosse Association Safe Sport processes where required.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Ku4x0blm2b0smLGasidd+1W3g==">CgMxLjAyDmgucHN1NWVla2Q0ODg2OAByITE0U2RuQVZtZ0l1UnNUZ0d6cG1QaUpjbmxRbGRFYUVORA==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