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95363" cy="9953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Sherwood Park Ringette Association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P.O. Box 3001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Sherwood Park, AB  T8H 2T1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(780) 918-1879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September 15, 2021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Whom it May Concern,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Re: Sherwood Park Ringette Association (“SPRA”) Criminal Record Check</w:t>
        <w:tab/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Volunteer Name: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Volunteer Position: Coach (  )  Manager (  )  Other Team Staff (  )  Board Member (  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SPRA requires our volunteers to obtain a Criminal Record Check (“CRC”) as they are in a position of authority with children.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ensure that a CRC with a Vulnerable Sector Check is completed for the above individual.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a Vulnerable Sector Search returns a possible match where fingerprints would require a thorough search, the SPRA does require fingerprints.  SPRA will not cover the cost of the fingerprints.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Should you require any further information, please contact Becky Clifford at 780-918-1879.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ancing Script" w:cs="Dancing Script" w:eastAsia="Dancing Script" w:hAnsi="Dancing Script"/>
          <w:b w:val="1"/>
          <w:sz w:val="36"/>
          <w:szCs w:val="36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6"/>
          <w:szCs w:val="36"/>
          <w:rtl w:val="0"/>
        </w:rPr>
        <w:t xml:space="preserve">Becky Clifford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Becky Clifford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Sherwood Park Ringette Association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