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Notice Of Motion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Submitted By: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Softball New Brunswick Board of Directors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Moved By:                                                                  Seconded By: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REFERENCE: (Section, article, number, page, etc.)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Article #3, Duties of the Board of Directors, E.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CO-ORDINATORS (MINOR, ADULT, LEARN TO PLAY AND COACHING)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WHEREAS: (Article as currently written)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E. CO-ORDINATORS (MINOR, ADULT, LEARN TO PLAY AND COACHING)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Coordinators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shall be elected at their respective workshops at the Annual General Meeting with full voting privileges for a two (2) year period. Coordinator positions will be elected at the S.N.B. Inc. AGM on the following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 IT RESOLVED THAT (Motion.  State whether revision, addition, deletion)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E. CO-ORDINATORS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Grassroots, High Performance, Adult, Human Resource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2"/>
                <w:numId w:val="1"/>
              </w:num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1798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Coordinators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shall be elected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sz w:val="24"/>
                <w:szCs w:val="24"/>
                <w:highlight w:val="white"/>
                <w:rtl w:val="0"/>
              </w:rPr>
              <w:t xml:space="preserve">at their respective workshops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at the Annual General Meeting with full voting privileges for a two (2) year period. Coordinator positions will be elected at the S.N.B. Inc. AGM on the following years: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RATIONALE: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per our recent Special Meeting, the members have approved a revised Board of Directors structure. The title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CO-ORDINATORS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Grassroots, High Performance, Adult, Human Resource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is just to reflect the updated coordinator positions.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well, the AGM has not had workshops for several years and the Board positions have been voted upon at the AGM. This is to update the Bylaws to reflect current practices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FINANCIAL IMPLICATIONS (Softball Canada, Provincial/Territorial, Individual)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FINAL RECOMMENDATIONS:  ____ Carried ___ Amended ___ Withdrawn ___ Defeated </w:t>
            </w:r>
          </w:p>
        </w:tc>
      </w:tr>
    </w:tbl>
    <w:p w:rsidR="00000000" w:rsidDel="00000000" w:rsidP="00000000" w:rsidRDefault="00000000" w:rsidRPr="00000000" w14:paraId="0000001A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  <w:t xml:space="preserve">www.softballnb.ca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33488" cy="12334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1233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5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/1j0oD9s3c45p4NiEpZ+QAxjuA==">CgMxLjA4AGomChRzdWdnZXN0LmI5bjMxMW8wYmNnMRIOSGlsbGFyeSBQaW5lYXVqJgoUc3VnZ2VzdC5mNmRzbWlrbngydWISDkhpbGxhcnkgUGluZWF1ciExazdXbWlESmdPZDdfX2NaY0FaRzdOakJPU25nMTA2WDU=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