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803E2" w14:textId="77777777" w:rsidR="00B803CC" w:rsidRDefault="00B803CC">
      <w:pPr>
        <w:pBdr>
          <w:top w:val="nil"/>
          <w:left w:val="nil"/>
          <w:bottom w:val="nil"/>
          <w:right w:val="nil"/>
          <w:between w:val="nil"/>
        </w:pBdr>
        <w:rPr>
          <w:rFonts w:ascii="Calibri" w:hAnsi="Calibri" w:cs="Calibri"/>
        </w:rPr>
      </w:pPr>
    </w:p>
    <w:p w14:paraId="2EA9AD86" w14:textId="498382D8" w:rsidR="00B803CC" w:rsidRDefault="00FA520D">
      <w:pPr>
        <w:pBdr>
          <w:top w:val="nil"/>
          <w:left w:val="nil"/>
          <w:bottom w:val="nil"/>
          <w:right w:val="nil"/>
          <w:between w:val="nil"/>
        </w:pBdr>
        <w:jc w:val="center"/>
        <w:rPr>
          <w:rFonts w:ascii="&amp;quot" w:eastAsia="&amp;quot" w:hAnsi="&amp;quot" w:cs="&amp;quot"/>
          <w:b/>
          <w:sz w:val="52"/>
          <w:szCs w:val="52"/>
        </w:rPr>
      </w:pPr>
      <w:r>
        <w:rPr>
          <w:rFonts w:ascii="&amp;quot" w:eastAsia="&amp;quot" w:hAnsi="&amp;quot" w:cs="&amp;quot"/>
          <w:b/>
          <w:sz w:val="52"/>
          <w:szCs w:val="52"/>
        </w:rPr>
        <w:t xml:space="preserve">SNB </w:t>
      </w:r>
    </w:p>
    <w:p w14:paraId="3E72BEE7" w14:textId="77777777" w:rsidR="00B803CC" w:rsidRDefault="00000000">
      <w:pPr>
        <w:pBdr>
          <w:top w:val="nil"/>
          <w:left w:val="nil"/>
          <w:bottom w:val="nil"/>
          <w:right w:val="nil"/>
          <w:between w:val="nil"/>
        </w:pBdr>
        <w:jc w:val="center"/>
        <w:rPr>
          <w:rFonts w:ascii="&amp;quot" w:eastAsia="&amp;quot" w:hAnsi="&amp;quot" w:cs="&amp;quot"/>
          <w:b/>
          <w:sz w:val="52"/>
          <w:szCs w:val="52"/>
        </w:rPr>
      </w:pPr>
      <w:r>
        <w:rPr>
          <w:rFonts w:ascii="&amp;quot" w:eastAsia="&amp;quot" w:hAnsi="&amp;quot" w:cs="&amp;quot"/>
          <w:b/>
          <w:sz w:val="52"/>
          <w:szCs w:val="52"/>
        </w:rPr>
        <w:t xml:space="preserve">Politique concernant </w:t>
      </w:r>
    </w:p>
    <w:p w14:paraId="531279DC" w14:textId="77777777" w:rsidR="00B803CC" w:rsidRDefault="00000000">
      <w:pPr>
        <w:pBdr>
          <w:top w:val="nil"/>
          <w:left w:val="nil"/>
          <w:bottom w:val="nil"/>
          <w:right w:val="nil"/>
          <w:between w:val="nil"/>
        </w:pBdr>
        <w:jc w:val="center"/>
        <w:rPr>
          <w:rFonts w:ascii="&amp;quot" w:eastAsia="&amp;quot" w:hAnsi="&amp;quot" w:cs="&amp;quot"/>
          <w:sz w:val="52"/>
          <w:szCs w:val="52"/>
        </w:rPr>
      </w:pPr>
      <w:proofErr w:type="gramStart"/>
      <w:r>
        <w:rPr>
          <w:rFonts w:ascii="&amp;quot" w:eastAsia="&amp;quot" w:hAnsi="&amp;quot" w:cs="&amp;quot"/>
          <w:b/>
          <w:sz w:val="52"/>
          <w:szCs w:val="52"/>
        </w:rPr>
        <w:t>les</w:t>
      </w:r>
      <w:proofErr w:type="gramEnd"/>
      <w:r>
        <w:rPr>
          <w:rFonts w:ascii="&amp;quot" w:eastAsia="&amp;quot" w:hAnsi="&amp;quot" w:cs="&amp;quot"/>
          <w:b/>
          <w:sz w:val="52"/>
          <w:szCs w:val="52"/>
        </w:rPr>
        <w:t xml:space="preserve"> membres transgenres </w:t>
      </w:r>
    </w:p>
    <w:p w14:paraId="06D9D3E1" w14:textId="77777777" w:rsidR="00B803CC" w:rsidRDefault="00B803CC">
      <w:pPr>
        <w:rPr>
          <w:rFonts w:ascii="&amp;quot" w:eastAsia="&amp;quot" w:hAnsi="&amp;quot" w:cs="&amp;quot"/>
          <w:sz w:val="40"/>
          <w:szCs w:val="40"/>
        </w:rPr>
      </w:pPr>
    </w:p>
    <w:p w14:paraId="6DA201E1" w14:textId="77777777" w:rsidR="00B803CC" w:rsidRDefault="00000000">
      <w:pPr>
        <w:rPr>
          <w:rFonts w:ascii="&amp;quot" w:eastAsia="&amp;quot" w:hAnsi="&amp;quot" w:cs="&amp;quot"/>
          <w:sz w:val="40"/>
          <w:szCs w:val="40"/>
        </w:rPr>
      </w:pPr>
      <w:r>
        <w:rPr>
          <w:rFonts w:ascii="&amp;quot" w:eastAsia="&amp;quot" w:hAnsi="&amp;quot" w:cs="&amp;quot"/>
          <w:sz w:val="40"/>
          <w:szCs w:val="40"/>
        </w:rPr>
        <w:t>Définitions :</w:t>
      </w:r>
    </w:p>
    <w:p w14:paraId="7B2EF5D8" w14:textId="77777777" w:rsidR="00B803CC" w:rsidRDefault="00B803CC">
      <w:pPr>
        <w:jc w:val="both"/>
        <w:rPr>
          <w:rFonts w:ascii="&amp;quot" w:eastAsia="&amp;quot" w:hAnsi="&amp;quot" w:cs="&amp;quot"/>
        </w:rPr>
      </w:pPr>
    </w:p>
    <w:p w14:paraId="539A48E4" w14:textId="461641FD" w:rsidR="00B803CC" w:rsidRDefault="00000000">
      <w:pPr>
        <w:jc w:val="both"/>
        <w:rPr>
          <w:rFonts w:ascii="&amp;quot" w:eastAsia="&amp;quot" w:hAnsi="&amp;quot" w:cs="&amp;quot"/>
        </w:rPr>
      </w:pPr>
      <w:r>
        <w:rPr>
          <w:rFonts w:ascii="&amp;quot" w:eastAsia="&amp;quot" w:hAnsi="&amp;quot" w:cs="&amp;quot"/>
        </w:rPr>
        <w:t xml:space="preserve">Définitions : Les termes </w:t>
      </w:r>
      <w:r w:rsidR="00FA520D">
        <w:rPr>
          <w:rFonts w:ascii="&amp;quot" w:eastAsia="&amp;quot" w:hAnsi="&amp;quot" w:cs="&amp;quot"/>
        </w:rPr>
        <w:t xml:space="preserve">ci-dessous </w:t>
      </w:r>
      <w:r>
        <w:rPr>
          <w:rFonts w:ascii="&amp;quot" w:eastAsia="&amp;quot" w:hAnsi="&amp;quot" w:cs="&amp;quot"/>
        </w:rPr>
        <w:t>ont la signification suivante dan</w:t>
      </w:r>
      <w:r w:rsidR="00CA4D01">
        <w:rPr>
          <w:rFonts w:ascii="&amp;quot" w:eastAsia="&amp;quot" w:hAnsi="&amp;quot" w:cs="&amp;quot"/>
        </w:rPr>
        <w:t>s cette</w:t>
      </w:r>
      <w:r w:rsidR="00FA520D">
        <w:rPr>
          <w:rFonts w:ascii="&amp;quot" w:eastAsia="&amp;quot" w:hAnsi="&amp;quot" w:cs="&amp;quot"/>
        </w:rPr>
        <w:t xml:space="preserve"> </w:t>
      </w:r>
      <w:r>
        <w:rPr>
          <w:rFonts w:ascii="&amp;quot" w:eastAsia="&amp;quot" w:hAnsi="&amp;quot" w:cs="&amp;quot"/>
        </w:rPr>
        <w:t>politique :</w:t>
      </w:r>
    </w:p>
    <w:p w14:paraId="60EB428B" w14:textId="77777777" w:rsidR="00B803CC" w:rsidRDefault="00B803CC">
      <w:pPr>
        <w:jc w:val="both"/>
        <w:rPr>
          <w:rFonts w:ascii="&amp;quot" w:eastAsia="&amp;quot" w:hAnsi="&amp;quot" w:cs="&amp;quot"/>
        </w:rPr>
      </w:pPr>
    </w:p>
    <w:p w14:paraId="3C64C808" w14:textId="729F058D" w:rsidR="00B803CC" w:rsidRDefault="00000000">
      <w:pPr>
        <w:numPr>
          <w:ilvl w:val="0"/>
          <w:numId w:val="1"/>
        </w:numPr>
        <w:pBdr>
          <w:top w:val="nil"/>
          <w:left w:val="nil"/>
          <w:bottom w:val="nil"/>
          <w:right w:val="nil"/>
          <w:between w:val="nil"/>
        </w:pBdr>
        <w:jc w:val="both"/>
        <w:rPr>
          <w:rFonts w:ascii="&amp;quot" w:eastAsia="&amp;quot" w:hAnsi="&amp;quot" w:cs="&amp;quot"/>
        </w:rPr>
      </w:pPr>
      <w:r>
        <w:rPr>
          <w:rFonts w:ascii="&amp;quot" w:eastAsia="&amp;quot" w:hAnsi="&amp;quot" w:cs="&amp;quot"/>
          <w:b/>
        </w:rPr>
        <w:t>Transition de femme à homme (homme transgenre)</w:t>
      </w:r>
      <w:r>
        <w:rPr>
          <w:rFonts w:ascii="&amp;quot" w:eastAsia="&amp;quot" w:hAnsi="&amp;quot" w:cs="&amp;quot"/>
        </w:rPr>
        <w:t>:</w:t>
      </w:r>
      <w:r>
        <w:rPr>
          <w:rFonts w:ascii="&amp;quot" w:eastAsia="&amp;quot" w:hAnsi="&amp;quot" w:cs="&amp;quot"/>
          <w:b/>
        </w:rPr>
        <w:t xml:space="preserve"> </w:t>
      </w:r>
      <w:r>
        <w:rPr>
          <w:rFonts w:ascii="&amp;quot" w:eastAsia="&amp;quot" w:hAnsi="&amp;quot" w:cs="&amp;quot"/>
        </w:rPr>
        <w:t xml:space="preserve">Nom </w:t>
      </w:r>
      <w:r w:rsidR="00FA520D" w:rsidRPr="00CA4D01">
        <w:rPr>
          <w:rFonts w:ascii="&amp;quot" w:eastAsia="&amp;quot" w:hAnsi="&amp;quot" w:cs="&amp;quot"/>
        </w:rPr>
        <w:t>désigné</w:t>
      </w:r>
      <w:r w:rsidRPr="00CA4D01">
        <w:rPr>
          <w:rFonts w:ascii="&amp;quot" w:eastAsia="&amp;quot" w:hAnsi="&amp;quot" w:cs="&amp;quot"/>
        </w:rPr>
        <w:t xml:space="preserve"> </w:t>
      </w:r>
      <w:r>
        <w:rPr>
          <w:rFonts w:ascii="&amp;quot" w:eastAsia="&amp;quot" w:hAnsi="&amp;quot" w:cs="&amp;quot"/>
        </w:rPr>
        <w:t>pour décrire une personne</w:t>
      </w:r>
      <w:r w:rsidR="00FA520D">
        <w:rPr>
          <w:rFonts w:ascii="&amp;quot" w:eastAsia="&amp;quot" w:hAnsi="&amp;quot" w:cs="&amp;quot"/>
        </w:rPr>
        <w:t>,</w:t>
      </w:r>
      <w:r>
        <w:rPr>
          <w:rFonts w:ascii="&amp;quot" w:eastAsia="&amp;quot" w:hAnsi="&amp;quot" w:cs="&amp;quot"/>
        </w:rPr>
        <w:t xml:space="preserve"> dont le sexe à la naissance a été déterminé comme féminin</w:t>
      </w:r>
      <w:r w:rsidR="00FA520D">
        <w:rPr>
          <w:rFonts w:ascii="&amp;quot" w:eastAsia="&amp;quot" w:hAnsi="&amp;quot" w:cs="&amp;quot"/>
        </w:rPr>
        <w:t>,</w:t>
      </w:r>
      <w:r>
        <w:rPr>
          <w:rFonts w:ascii="&amp;quot" w:eastAsia="&amp;quot" w:hAnsi="&amp;quot" w:cs="&amp;quot"/>
        </w:rPr>
        <w:t xml:space="preserve"> qui modifie ou qui a modifié son corps ou son identité sexuelle pour adopter une identité masculine. </w:t>
      </w:r>
    </w:p>
    <w:p w14:paraId="015AA637" w14:textId="1CAC8438" w:rsidR="00B803CC" w:rsidRDefault="00000000">
      <w:pPr>
        <w:numPr>
          <w:ilvl w:val="0"/>
          <w:numId w:val="1"/>
        </w:numPr>
        <w:pBdr>
          <w:top w:val="nil"/>
          <w:left w:val="nil"/>
          <w:bottom w:val="nil"/>
          <w:right w:val="nil"/>
          <w:between w:val="nil"/>
        </w:pBdr>
        <w:jc w:val="both"/>
        <w:rPr>
          <w:rFonts w:ascii="&amp;quot" w:eastAsia="&amp;quot" w:hAnsi="&amp;quot" w:cs="&amp;quot"/>
        </w:rPr>
      </w:pPr>
      <w:r>
        <w:rPr>
          <w:rFonts w:ascii="&amp;quot" w:eastAsia="&amp;quot" w:hAnsi="&amp;quot" w:cs="&amp;quot"/>
          <w:b/>
        </w:rPr>
        <w:t>Identité sexuelle</w:t>
      </w:r>
      <w:r>
        <w:rPr>
          <w:rFonts w:ascii="&amp;quot" w:eastAsia="&amp;quot" w:hAnsi="&amp;quot" w:cs="&amp;quot"/>
        </w:rPr>
        <w:t>:</w:t>
      </w:r>
      <w:r>
        <w:rPr>
          <w:rFonts w:ascii="&amp;quot" w:eastAsia="&amp;quot" w:hAnsi="&amp;quot" w:cs="&amp;quot"/>
          <w:b/>
        </w:rPr>
        <w:t xml:space="preserve"> </w:t>
      </w:r>
      <w:r>
        <w:rPr>
          <w:rFonts w:ascii="&amp;quot" w:eastAsia="&amp;quot" w:hAnsi="&amp;quot" w:cs="&amp;quot"/>
        </w:rPr>
        <w:t>Sensation profonde d'être homme</w:t>
      </w:r>
      <w:r w:rsidR="00FA520D">
        <w:rPr>
          <w:rFonts w:ascii="&amp;quot" w:eastAsia="&amp;quot" w:hAnsi="&amp;quot" w:cs="&amp;quot"/>
        </w:rPr>
        <w:t>,</w:t>
      </w:r>
      <w:r>
        <w:rPr>
          <w:rFonts w:ascii="&amp;quot" w:eastAsia="&amp;quot" w:hAnsi="&amp;quot" w:cs="&amp;quot"/>
        </w:rPr>
        <w:t xml:space="preserve"> femme, ni l'un ni l'autre, ou de se situer quelque part le long du spectre du genre.  </w:t>
      </w:r>
    </w:p>
    <w:p w14:paraId="0DA72E27" w14:textId="4ACA7427" w:rsidR="00B803CC" w:rsidRDefault="00000000">
      <w:pPr>
        <w:numPr>
          <w:ilvl w:val="0"/>
          <w:numId w:val="1"/>
        </w:numPr>
        <w:pBdr>
          <w:top w:val="nil"/>
          <w:left w:val="nil"/>
          <w:bottom w:val="nil"/>
          <w:right w:val="nil"/>
          <w:between w:val="nil"/>
        </w:pBdr>
        <w:jc w:val="both"/>
        <w:rPr>
          <w:rFonts w:ascii="&amp;quot" w:eastAsia="&amp;quot" w:hAnsi="&amp;quot" w:cs="&amp;quot"/>
        </w:rPr>
      </w:pPr>
      <w:r>
        <w:rPr>
          <w:rFonts w:ascii="&amp;quot" w:eastAsia="&amp;quot" w:hAnsi="&amp;quot" w:cs="&amp;quot"/>
          <w:b/>
        </w:rPr>
        <w:t>Expression de genre</w:t>
      </w:r>
      <w:r>
        <w:rPr>
          <w:rFonts w:ascii="&amp;quot" w:eastAsia="&amp;quot" w:hAnsi="&amp;quot" w:cs="&amp;quot"/>
        </w:rPr>
        <w:t>:</w:t>
      </w:r>
      <w:r>
        <w:rPr>
          <w:rFonts w:ascii="&amp;quot" w:eastAsia="&amp;quot" w:hAnsi="&amp;quot" w:cs="&amp;quot"/>
          <w:b/>
        </w:rPr>
        <w:t xml:space="preserve"> </w:t>
      </w:r>
      <w:r>
        <w:rPr>
          <w:rFonts w:ascii="&amp;quot" w:eastAsia="&amp;quot" w:hAnsi="&amp;quot" w:cs="&amp;quot"/>
        </w:rPr>
        <w:t xml:space="preserve">Caractéristiques de la personnalité, de l’apparence et du comportement qui, dans une culture et une période historique données, sont désignées comme masculines ou féminines (c’est-à-dire plus typiques du rôle social masculin ou féminin). </w:t>
      </w:r>
    </w:p>
    <w:p w14:paraId="61A23B0D" w14:textId="0C9702BE" w:rsidR="00B803CC" w:rsidRDefault="00000000">
      <w:pPr>
        <w:numPr>
          <w:ilvl w:val="0"/>
          <w:numId w:val="1"/>
        </w:numPr>
        <w:pBdr>
          <w:top w:val="nil"/>
          <w:left w:val="nil"/>
          <w:bottom w:val="nil"/>
          <w:right w:val="nil"/>
          <w:between w:val="nil"/>
        </w:pBdr>
        <w:jc w:val="both"/>
        <w:rPr>
          <w:rFonts w:ascii="&amp;quot" w:eastAsia="&amp;quot" w:hAnsi="&amp;quot" w:cs="&amp;quot"/>
        </w:rPr>
      </w:pPr>
      <w:r>
        <w:rPr>
          <w:rFonts w:ascii="&amp;quot" w:eastAsia="&amp;quot" w:hAnsi="&amp;quot" w:cs="&amp;quot"/>
          <w:b/>
        </w:rPr>
        <w:t>Transition d’homme à femme (femme transgenre)</w:t>
      </w:r>
      <w:r>
        <w:rPr>
          <w:rFonts w:ascii="&amp;quot" w:eastAsia="&amp;quot" w:hAnsi="&amp;quot" w:cs="&amp;quot"/>
        </w:rPr>
        <w:t>:</w:t>
      </w:r>
      <w:r>
        <w:rPr>
          <w:rFonts w:ascii="&amp;quot" w:eastAsia="&amp;quot" w:hAnsi="&amp;quot" w:cs="&amp;quot"/>
          <w:b/>
        </w:rPr>
        <w:t xml:space="preserve"> </w:t>
      </w:r>
      <w:r>
        <w:rPr>
          <w:rFonts w:ascii="&amp;quot" w:eastAsia="&amp;quot" w:hAnsi="&amp;quot" w:cs="&amp;quot"/>
        </w:rPr>
        <w:t xml:space="preserve">Nom </w:t>
      </w:r>
      <w:r w:rsidR="00FA520D" w:rsidRPr="00CA4D01">
        <w:rPr>
          <w:rFonts w:ascii="&amp;quot" w:eastAsia="&amp;quot" w:hAnsi="&amp;quot" w:cs="&amp;quot"/>
        </w:rPr>
        <w:t>désigné</w:t>
      </w:r>
      <w:r w:rsidRPr="00CA4D01">
        <w:rPr>
          <w:rFonts w:ascii="&amp;quot" w:eastAsia="&amp;quot" w:hAnsi="&amp;quot" w:cs="&amp;quot"/>
        </w:rPr>
        <w:t xml:space="preserve"> </w:t>
      </w:r>
      <w:r>
        <w:rPr>
          <w:rFonts w:ascii="&amp;quot" w:eastAsia="&amp;quot" w:hAnsi="&amp;quot" w:cs="&amp;quot"/>
        </w:rPr>
        <w:t>pour décrire une personne</w:t>
      </w:r>
      <w:r w:rsidR="00FA520D">
        <w:rPr>
          <w:rFonts w:ascii="&amp;quot" w:eastAsia="&amp;quot" w:hAnsi="&amp;quot" w:cs="&amp;quot"/>
        </w:rPr>
        <w:t>,</w:t>
      </w:r>
      <w:r>
        <w:rPr>
          <w:rFonts w:ascii="&amp;quot" w:eastAsia="&amp;quot" w:hAnsi="&amp;quot" w:cs="&amp;quot"/>
        </w:rPr>
        <w:t xml:space="preserve"> dont le sexe à la naissance a été déterminé comme masculin</w:t>
      </w:r>
      <w:r w:rsidR="00FA520D">
        <w:rPr>
          <w:rFonts w:ascii="&amp;quot" w:eastAsia="&amp;quot" w:hAnsi="&amp;quot" w:cs="&amp;quot"/>
        </w:rPr>
        <w:t>,</w:t>
      </w:r>
      <w:r>
        <w:rPr>
          <w:rFonts w:ascii="&amp;quot" w:eastAsia="&amp;quot" w:hAnsi="&amp;quot" w:cs="&amp;quot"/>
        </w:rPr>
        <w:t xml:space="preserve"> qui modifie ou qui a modifié son corps ou son identité sexuelle pour adopter une identité féminine. </w:t>
      </w:r>
    </w:p>
    <w:p w14:paraId="27C03F7F" w14:textId="0B56A7A5" w:rsidR="00B803CC" w:rsidRDefault="00000000">
      <w:pPr>
        <w:numPr>
          <w:ilvl w:val="0"/>
          <w:numId w:val="1"/>
        </w:numPr>
        <w:pBdr>
          <w:top w:val="nil"/>
          <w:left w:val="nil"/>
          <w:bottom w:val="nil"/>
          <w:right w:val="nil"/>
          <w:between w:val="nil"/>
        </w:pBdr>
        <w:jc w:val="both"/>
        <w:rPr>
          <w:rFonts w:ascii="&amp;quot" w:eastAsia="&amp;quot" w:hAnsi="&amp;quot" w:cs="&amp;quot"/>
        </w:rPr>
      </w:pPr>
      <w:r>
        <w:rPr>
          <w:rFonts w:ascii="&amp;quot" w:eastAsia="&amp;quot" w:hAnsi="&amp;quot" w:cs="&amp;quot"/>
          <w:b/>
        </w:rPr>
        <w:t>Praticien de la santé</w:t>
      </w:r>
      <w:r>
        <w:rPr>
          <w:rFonts w:ascii="&amp;quot" w:eastAsia="&amp;quot" w:hAnsi="&amp;quot" w:cs="&amp;quot"/>
        </w:rPr>
        <w:t>:</w:t>
      </w:r>
      <w:r>
        <w:rPr>
          <w:rFonts w:ascii="&amp;quot" w:eastAsia="&amp;quot" w:hAnsi="&amp;quot" w:cs="&amp;quot"/>
          <w:b/>
        </w:rPr>
        <w:t xml:space="preserve"> </w:t>
      </w:r>
      <w:r>
        <w:rPr>
          <w:rFonts w:ascii="&amp;quot" w:eastAsia="&amp;quot" w:hAnsi="&amp;quot" w:cs="&amp;quot"/>
        </w:rPr>
        <w:t xml:space="preserve">Une personne autorisée à pratiquer la médecine au Canada qui a obtenu un diplôme d’une faculté de médecine et qui est inscrite au Registre des titres de compétences des médecins du Canada. </w:t>
      </w:r>
    </w:p>
    <w:p w14:paraId="1550BE29" w14:textId="337ADBFF" w:rsidR="00B803CC" w:rsidRDefault="00000000">
      <w:pPr>
        <w:numPr>
          <w:ilvl w:val="0"/>
          <w:numId w:val="1"/>
        </w:numPr>
        <w:pBdr>
          <w:top w:val="nil"/>
          <w:left w:val="nil"/>
          <w:bottom w:val="nil"/>
          <w:right w:val="nil"/>
          <w:between w:val="nil"/>
        </w:pBdr>
        <w:jc w:val="both"/>
        <w:rPr>
          <w:rFonts w:ascii="&amp;quot" w:eastAsia="&amp;quot" w:hAnsi="&amp;quot" w:cs="&amp;quot"/>
        </w:rPr>
      </w:pPr>
      <w:r>
        <w:rPr>
          <w:rFonts w:ascii="&amp;quot" w:eastAsia="&amp;quot" w:hAnsi="&amp;quot" w:cs="&amp;quot"/>
          <w:b/>
        </w:rPr>
        <w:t>Organisation</w:t>
      </w:r>
      <w:r>
        <w:rPr>
          <w:rFonts w:ascii="&amp;quot" w:eastAsia="&amp;quot" w:hAnsi="&amp;quot" w:cs="&amp;quot"/>
        </w:rPr>
        <w:t xml:space="preserve">: </w:t>
      </w:r>
      <w:r w:rsidRPr="00CA4D01">
        <w:rPr>
          <w:rFonts w:ascii="&amp;quot" w:eastAsia="&amp;quot" w:hAnsi="&amp;quot" w:cs="&amp;quot"/>
        </w:rPr>
        <w:t>SNB</w:t>
      </w:r>
      <w:r>
        <w:rPr>
          <w:rFonts w:ascii="&amp;quot" w:eastAsia="&amp;quot" w:hAnsi="&amp;quot" w:cs="&amp;quot"/>
        </w:rPr>
        <w:t xml:space="preserve"> </w:t>
      </w:r>
    </w:p>
    <w:p w14:paraId="559BE843" w14:textId="47B0DBC9" w:rsidR="00B803CC" w:rsidRDefault="00000000">
      <w:pPr>
        <w:numPr>
          <w:ilvl w:val="0"/>
          <w:numId w:val="1"/>
        </w:numPr>
        <w:pBdr>
          <w:top w:val="nil"/>
          <w:left w:val="nil"/>
          <w:bottom w:val="nil"/>
          <w:right w:val="nil"/>
          <w:between w:val="nil"/>
        </w:pBdr>
        <w:jc w:val="both"/>
        <w:rPr>
          <w:rFonts w:ascii="&amp;quot" w:eastAsia="&amp;quot" w:hAnsi="&amp;quot" w:cs="&amp;quot"/>
        </w:rPr>
      </w:pPr>
      <w:r>
        <w:rPr>
          <w:rFonts w:ascii="&amp;quot" w:eastAsia="&amp;quot" w:hAnsi="&amp;quot" w:cs="&amp;quot"/>
          <w:b/>
        </w:rPr>
        <w:t>Transgenre</w:t>
      </w:r>
      <w:r>
        <w:rPr>
          <w:rFonts w:ascii="&amp;quot" w:eastAsia="&amp;quot" w:hAnsi="&amp;quot" w:cs="&amp;quot"/>
        </w:rPr>
        <w:t>:</w:t>
      </w:r>
      <w:r>
        <w:rPr>
          <w:rFonts w:ascii="&amp;quot" w:eastAsia="&amp;quot" w:hAnsi="&amp;quot" w:cs="&amp;quot"/>
          <w:b/>
        </w:rPr>
        <w:t xml:space="preserve"> </w:t>
      </w:r>
      <w:r>
        <w:rPr>
          <w:rFonts w:ascii="&amp;quot" w:eastAsia="&amp;quot" w:hAnsi="&amp;quot" w:cs="&amp;quot"/>
        </w:rPr>
        <w:t xml:space="preserve">Adjectif employé pour décrire un groupe diversifié de personnes qui traversent ou transcendent des catégories de genre définies culturellement. L’identité de genre des personnes transgenres diffère, à divers degrés, de celle associée au sexe qui leur a été assigné à la naissance. </w:t>
      </w:r>
    </w:p>
    <w:p w14:paraId="592A231D" w14:textId="7E260C39" w:rsidR="00B803CC" w:rsidRDefault="00000000">
      <w:pPr>
        <w:numPr>
          <w:ilvl w:val="0"/>
          <w:numId w:val="1"/>
        </w:numPr>
        <w:pBdr>
          <w:top w:val="nil"/>
          <w:left w:val="nil"/>
          <w:bottom w:val="nil"/>
          <w:right w:val="nil"/>
          <w:between w:val="nil"/>
        </w:pBdr>
        <w:jc w:val="both"/>
        <w:rPr>
          <w:rFonts w:ascii="&amp;quot" w:eastAsia="&amp;quot" w:hAnsi="&amp;quot" w:cs="&amp;quot"/>
        </w:rPr>
      </w:pPr>
      <w:r>
        <w:rPr>
          <w:rFonts w:ascii="&amp;quot" w:eastAsia="&amp;quot" w:hAnsi="&amp;quot" w:cs="&amp;quot"/>
          <w:b/>
        </w:rPr>
        <w:t>Transition</w:t>
      </w:r>
      <w:r>
        <w:rPr>
          <w:rFonts w:ascii="&amp;quot" w:eastAsia="&amp;quot" w:hAnsi="&amp;quot" w:cs="&amp;quot"/>
        </w:rPr>
        <w:t>:</w:t>
      </w:r>
      <w:r>
        <w:rPr>
          <w:rFonts w:ascii="&amp;quot" w:eastAsia="&amp;quot" w:hAnsi="&amp;quot" w:cs="&amp;quot"/>
          <w:b/>
        </w:rPr>
        <w:t xml:space="preserve"> </w:t>
      </w:r>
      <w:r>
        <w:rPr>
          <w:rFonts w:ascii="&amp;quot" w:eastAsia="&amp;quot" w:hAnsi="&amp;quot" w:cs="&amp;quot"/>
        </w:rPr>
        <w:t xml:space="preserve">Période pendant laquelle les personnes passent du rôle de genre associé à leur sexe attribué à la naissance à un rôle de genre différent. La transition peut inclure la féminisation ou la masculinisation du corps par </w:t>
      </w:r>
      <w:r w:rsidR="00FA520D">
        <w:rPr>
          <w:rFonts w:ascii="&amp;quot" w:eastAsia="&amp;quot" w:hAnsi="&amp;quot" w:cs="&amp;quot"/>
        </w:rPr>
        <w:t xml:space="preserve">des </w:t>
      </w:r>
      <w:r>
        <w:rPr>
          <w:rFonts w:ascii="&amp;quot" w:eastAsia="&amp;quot" w:hAnsi="&amp;quot" w:cs="&amp;quot"/>
        </w:rPr>
        <w:t xml:space="preserve">hormones ou de procédures médicales. La nature et la durée de la transition sont variables et individualisées. </w:t>
      </w:r>
    </w:p>
    <w:p w14:paraId="20CD9ADE" w14:textId="77777777" w:rsidR="00FA520D" w:rsidRDefault="00FA520D">
      <w:pPr>
        <w:spacing w:before="450" w:after="450"/>
        <w:rPr>
          <w:rFonts w:ascii="&amp;quot" w:eastAsia="&amp;quot" w:hAnsi="&amp;quot" w:cs="&amp;quot"/>
          <w:sz w:val="40"/>
          <w:szCs w:val="40"/>
        </w:rPr>
      </w:pPr>
    </w:p>
    <w:p w14:paraId="44EA634A" w14:textId="77777777" w:rsidR="00FA520D" w:rsidRDefault="00FA520D">
      <w:pPr>
        <w:spacing w:before="450" w:after="450"/>
        <w:rPr>
          <w:rFonts w:ascii="&amp;quot" w:eastAsia="&amp;quot" w:hAnsi="&amp;quot" w:cs="&amp;quot"/>
          <w:sz w:val="40"/>
          <w:szCs w:val="40"/>
        </w:rPr>
      </w:pPr>
    </w:p>
    <w:p w14:paraId="056E2C50" w14:textId="293A25E4" w:rsidR="00FA520D" w:rsidRDefault="00000000">
      <w:pPr>
        <w:spacing w:before="450" w:after="450"/>
        <w:rPr>
          <w:rFonts w:ascii="&amp;quot" w:eastAsia="&amp;quot" w:hAnsi="&amp;quot" w:cs="&amp;quot"/>
          <w:sz w:val="40"/>
          <w:szCs w:val="40"/>
        </w:rPr>
      </w:pPr>
      <w:r>
        <w:rPr>
          <w:rFonts w:ascii="&amp;quot" w:eastAsia="&amp;quot" w:hAnsi="&amp;quot" w:cs="&amp;quot"/>
          <w:sz w:val="40"/>
          <w:szCs w:val="40"/>
        </w:rPr>
        <w:t>But</w:t>
      </w:r>
    </w:p>
    <w:p w14:paraId="37992639" w14:textId="77777777" w:rsidR="00B803CC" w:rsidRDefault="00000000">
      <w:pPr>
        <w:numPr>
          <w:ilvl w:val="0"/>
          <w:numId w:val="3"/>
        </w:numPr>
        <w:pBdr>
          <w:top w:val="nil"/>
          <w:left w:val="nil"/>
          <w:bottom w:val="nil"/>
          <w:right w:val="nil"/>
          <w:between w:val="nil"/>
        </w:pBdr>
        <w:jc w:val="both"/>
        <w:rPr>
          <w:rFonts w:ascii="&amp;quot" w:eastAsia="&amp;quot" w:hAnsi="&amp;quot" w:cs="&amp;quot"/>
        </w:rPr>
      </w:pPr>
      <w:r>
        <w:rPr>
          <w:rFonts w:ascii="&amp;quot" w:eastAsia="&amp;quot" w:hAnsi="&amp;quot" w:cs="&amp;quot"/>
        </w:rPr>
        <w:t xml:space="preserve">Les personnes transgenres devraient avoir des chances égales de participer à des activités sportives. </w:t>
      </w:r>
    </w:p>
    <w:p w14:paraId="095C1FF8" w14:textId="77777777" w:rsidR="00B803CC" w:rsidRDefault="00000000">
      <w:pPr>
        <w:numPr>
          <w:ilvl w:val="0"/>
          <w:numId w:val="3"/>
        </w:numPr>
        <w:pBdr>
          <w:top w:val="nil"/>
          <w:left w:val="nil"/>
          <w:bottom w:val="nil"/>
          <w:right w:val="nil"/>
          <w:between w:val="nil"/>
        </w:pBdr>
        <w:jc w:val="both"/>
        <w:rPr>
          <w:rFonts w:ascii="&amp;quot" w:eastAsia="&amp;quot" w:hAnsi="&amp;quot" w:cs="&amp;quot"/>
        </w:rPr>
      </w:pPr>
      <w:r>
        <w:rPr>
          <w:rFonts w:ascii="&amp;quot" w:eastAsia="&amp;quot" w:hAnsi="&amp;quot" w:cs="&amp;quot"/>
        </w:rPr>
        <w:t xml:space="preserve">L’intégrité des sports féminins devrait être préservée. </w:t>
      </w:r>
    </w:p>
    <w:p w14:paraId="2E43169B" w14:textId="77777777" w:rsidR="00B803CC" w:rsidRDefault="00000000">
      <w:pPr>
        <w:numPr>
          <w:ilvl w:val="0"/>
          <w:numId w:val="3"/>
        </w:numPr>
        <w:pBdr>
          <w:top w:val="nil"/>
          <w:left w:val="nil"/>
          <w:bottom w:val="nil"/>
          <w:right w:val="nil"/>
          <w:between w:val="nil"/>
        </w:pBdr>
        <w:jc w:val="both"/>
        <w:rPr>
          <w:rFonts w:ascii="&amp;quot" w:eastAsia="&amp;quot" w:hAnsi="&amp;quot" w:cs="&amp;quot"/>
        </w:rPr>
      </w:pPr>
      <w:r>
        <w:rPr>
          <w:rFonts w:ascii="&amp;quot" w:eastAsia="&amp;quot" w:hAnsi="&amp;quot" w:cs="&amp;quot"/>
        </w:rPr>
        <w:t xml:space="preserve">Les politiques régissant les sports devraient être fondées sur de solides connaissances médicales et une validité scientifique. </w:t>
      </w:r>
    </w:p>
    <w:p w14:paraId="5EC703E9" w14:textId="77777777" w:rsidR="00B803CC" w:rsidRDefault="00000000">
      <w:pPr>
        <w:numPr>
          <w:ilvl w:val="0"/>
          <w:numId w:val="3"/>
        </w:numPr>
        <w:pBdr>
          <w:top w:val="nil"/>
          <w:left w:val="nil"/>
          <w:bottom w:val="nil"/>
          <w:right w:val="nil"/>
          <w:between w:val="nil"/>
        </w:pBdr>
        <w:jc w:val="both"/>
        <w:rPr>
          <w:rFonts w:ascii="&amp;quot" w:eastAsia="&amp;quot" w:hAnsi="&amp;quot" w:cs="&amp;quot"/>
        </w:rPr>
      </w:pPr>
      <w:r>
        <w:rPr>
          <w:rFonts w:ascii="&amp;quot" w:eastAsia="&amp;quot" w:hAnsi="&amp;quot" w:cs="&amp;quot"/>
        </w:rPr>
        <w:t xml:space="preserve">Les politiques régissant les sports devraient être objectives, applicables et réalisables. Elles devraient également être écrites, disponibles et appliquées de manière équitable. </w:t>
      </w:r>
    </w:p>
    <w:p w14:paraId="13EDE60D" w14:textId="1736C6E9" w:rsidR="00B803CC" w:rsidRDefault="00000000">
      <w:pPr>
        <w:numPr>
          <w:ilvl w:val="0"/>
          <w:numId w:val="3"/>
        </w:numPr>
        <w:pBdr>
          <w:top w:val="nil"/>
          <w:left w:val="nil"/>
          <w:bottom w:val="nil"/>
          <w:right w:val="nil"/>
          <w:between w:val="nil"/>
        </w:pBdr>
        <w:jc w:val="both"/>
        <w:rPr>
          <w:rFonts w:ascii="&amp;quot" w:eastAsia="&amp;quot" w:hAnsi="&amp;quot" w:cs="&amp;quot"/>
        </w:rPr>
      </w:pPr>
      <w:r>
        <w:rPr>
          <w:rFonts w:ascii="&amp;quot" w:eastAsia="&amp;quot" w:hAnsi="&amp;quot" w:cs="&amp;quot"/>
        </w:rPr>
        <w:t xml:space="preserve">Les politiques régissant la participation des personnes transgenres aux activités sportives devraient être équitables étant donné l’énorme variation </w:t>
      </w:r>
      <w:r w:rsidR="00FA520D" w:rsidRPr="00CA4D01">
        <w:rPr>
          <w:rFonts w:ascii="&amp;quot" w:eastAsia="&amp;quot" w:hAnsi="&amp;quot" w:cs="&amp;quot"/>
        </w:rPr>
        <w:t>de</w:t>
      </w:r>
      <w:r w:rsidR="00FA520D" w:rsidRPr="00FA520D">
        <w:rPr>
          <w:rFonts w:ascii="&amp;quot" w:eastAsia="&amp;quot" w:hAnsi="&amp;quot" w:cs="&amp;quot"/>
          <w:color w:val="FF0000"/>
        </w:rPr>
        <w:t xml:space="preserve"> </w:t>
      </w:r>
      <w:r>
        <w:rPr>
          <w:rFonts w:ascii="&amp;quot" w:eastAsia="&amp;quot" w:hAnsi="&amp;quot" w:cs="&amp;quot"/>
        </w:rPr>
        <w:t xml:space="preserve">la force, la taille, la musculature et les habiletés des personnes. </w:t>
      </w:r>
    </w:p>
    <w:p w14:paraId="289F437C" w14:textId="77777777" w:rsidR="00B803CC" w:rsidRDefault="00000000">
      <w:pPr>
        <w:numPr>
          <w:ilvl w:val="0"/>
          <w:numId w:val="3"/>
        </w:numPr>
        <w:pBdr>
          <w:top w:val="nil"/>
          <w:left w:val="nil"/>
          <w:bottom w:val="nil"/>
          <w:right w:val="nil"/>
          <w:between w:val="nil"/>
        </w:pBdr>
        <w:jc w:val="both"/>
        <w:rPr>
          <w:rFonts w:ascii="&amp;quot" w:eastAsia="&amp;quot" w:hAnsi="&amp;quot" w:cs="&amp;quot"/>
        </w:rPr>
      </w:pPr>
      <w:r>
        <w:rPr>
          <w:rFonts w:ascii="&amp;quot" w:eastAsia="&amp;quot" w:hAnsi="&amp;quot" w:cs="&amp;quot"/>
        </w:rPr>
        <w:t xml:space="preserve">Les intérêts légitimes de confidentialité de toutes les personnes devraient être protégés. </w:t>
      </w:r>
    </w:p>
    <w:p w14:paraId="00ECBFD2" w14:textId="77777777" w:rsidR="00B803CC" w:rsidRDefault="00000000">
      <w:pPr>
        <w:numPr>
          <w:ilvl w:val="0"/>
          <w:numId w:val="3"/>
        </w:numPr>
        <w:pBdr>
          <w:top w:val="nil"/>
          <w:left w:val="nil"/>
          <w:bottom w:val="nil"/>
          <w:right w:val="nil"/>
          <w:between w:val="nil"/>
        </w:pBdr>
        <w:jc w:val="both"/>
        <w:rPr>
          <w:rFonts w:ascii="&amp;quot" w:eastAsia="&amp;quot" w:hAnsi="&amp;quot" w:cs="&amp;quot"/>
        </w:rPr>
      </w:pPr>
      <w:r>
        <w:rPr>
          <w:rFonts w:ascii="&amp;quot" w:eastAsia="&amp;quot" w:hAnsi="&amp;quot" w:cs="&amp;quot"/>
        </w:rPr>
        <w:t xml:space="preserve">La confidentialité médicale des personnes transgenres devrait être préservée. </w:t>
      </w:r>
    </w:p>
    <w:p w14:paraId="1587919D" w14:textId="77777777" w:rsidR="00B803CC" w:rsidRDefault="00000000">
      <w:pPr>
        <w:numPr>
          <w:ilvl w:val="0"/>
          <w:numId w:val="3"/>
        </w:numPr>
        <w:pBdr>
          <w:top w:val="nil"/>
          <w:left w:val="nil"/>
          <w:bottom w:val="nil"/>
          <w:right w:val="nil"/>
          <w:between w:val="nil"/>
        </w:pBdr>
        <w:jc w:val="both"/>
        <w:rPr>
          <w:rFonts w:ascii="&amp;quot" w:eastAsia="&amp;quot" w:hAnsi="&amp;quot" w:cs="&amp;quot"/>
        </w:rPr>
      </w:pPr>
      <w:r>
        <w:rPr>
          <w:rFonts w:ascii="&amp;quot" w:eastAsia="&amp;quot" w:hAnsi="&amp;quot" w:cs="&amp;quot"/>
        </w:rPr>
        <w:t xml:space="preserve">Les politiques régissant la participation des personnes transgenres aux activités sportives devraient se conformer aux lois provinciales et fédérales, incluant celles protégeant les personnes contre toute discrimination. </w:t>
      </w:r>
    </w:p>
    <w:p w14:paraId="0CEA01F7" w14:textId="77777777" w:rsidR="00B803CC" w:rsidRDefault="00B803CC">
      <w:pPr>
        <w:pBdr>
          <w:top w:val="nil"/>
          <w:left w:val="nil"/>
          <w:bottom w:val="nil"/>
          <w:right w:val="nil"/>
          <w:between w:val="nil"/>
        </w:pBdr>
        <w:rPr>
          <w:rFonts w:ascii="Calibri" w:hAnsi="Calibri" w:cs="Calibri"/>
          <w:sz w:val="23"/>
          <w:szCs w:val="23"/>
        </w:rPr>
      </w:pPr>
    </w:p>
    <w:p w14:paraId="085A1C1D" w14:textId="2C2BE3F9" w:rsidR="00B803CC" w:rsidRDefault="00000000">
      <w:pPr>
        <w:pBdr>
          <w:top w:val="nil"/>
          <w:left w:val="nil"/>
          <w:bottom w:val="nil"/>
          <w:right w:val="nil"/>
          <w:between w:val="nil"/>
        </w:pBdr>
        <w:jc w:val="both"/>
        <w:rPr>
          <w:rFonts w:ascii="&amp;quot" w:eastAsia="&amp;quot" w:hAnsi="&amp;quot" w:cs="&amp;quot"/>
          <w:b/>
          <w:i/>
        </w:rPr>
      </w:pPr>
      <w:r>
        <w:rPr>
          <w:rFonts w:ascii="&amp;quot" w:eastAsia="&amp;quot" w:hAnsi="&amp;quot" w:cs="&amp;quot"/>
          <w:b/>
          <w:i/>
        </w:rPr>
        <w:t>L’organisation croit en l’égalité des chances, pour toutes les personnes, de pratique</w:t>
      </w:r>
      <w:r w:rsidR="00CA4D01">
        <w:rPr>
          <w:rFonts w:ascii="&amp;quot" w:eastAsia="&amp;quot" w:hAnsi="&amp;quot" w:cs="&amp;quot"/>
          <w:b/>
          <w:i/>
        </w:rPr>
        <w:t>r le softball</w:t>
      </w:r>
      <w:r>
        <w:rPr>
          <w:rFonts w:ascii="&amp;quot" w:eastAsia="&amp;quot" w:hAnsi="&amp;quot" w:cs="&amp;quot"/>
          <w:b/>
          <w:i/>
        </w:rPr>
        <w:t>. Dans le cas où une personne transgenre souhaiterait</w:t>
      </w:r>
      <w:r w:rsidR="00FA520D">
        <w:rPr>
          <w:rFonts w:ascii="&amp;quot" w:eastAsia="&amp;quot" w:hAnsi="&amp;quot" w:cs="&amp;quot"/>
          <w:b/>
          <w:i/>
        </w:rPr>
        <w:t xml:space="preserve"> </w:t>
      </w:r>
      <w:r w:rsidR="00FA520D" w:rsidRPr="00CA4D01">
        <w:rPr>
          <w:rFonts w:ascii="&amp;quot" w:eastAsia="&amp;quot" w:hAnsi="&amp;quot" w:cs="&amp;quot"/>
          <w:b/>
          <w:i/>
        </w:rPr>
        <w:t>de participer</w:t>
      </w:r>
      <w:r>
        <w:rPr>
          <w:rFonts w:ascii="&amp;quot" w:eastAsia="&amp;quot" w:hAnsi="&amp;quot" w:cs="&amp;quot"/>
          <w:b/>
          <w:i/>
        </w:rPr>
        <w:t xml:space="preserve">, l’organisation considèrera les lignes directrices d’admissibilité afin d’assurer un environnement de jeu équitable et équilibré pour tous les participants. </w:t>
      </w:r>
    </w:p>
    <w:p w14:paraId="03F54949" w14:textId="77777777" w:rsidR="00B803CC" w:rsidRDefault="00000000">
      <w:pPr>
        <w:spacing w:before="450"/>
        <w:rPr>
          <w:rFonts w:ascii="&amp;quot" w:eastAsia="&amp;quot" w:hAnsi="&amp;quot" w:cs="&amp;quot"/>
          <w:sz w:val="40"/>
          <w:szCs w:val="40"/>
        </w:rPr>
      </w:pPr>
      <w:r>
        <w:rPr>
          <w:rFonts w:ascii="&amp;quot" w:eastAsia="&amp;quot" w:hAnsi="&amp;quot" w:cs="&amp;quot"/>
          <w:sz w:val="40"/>
          <w:szCs w:val="40"/>
        </w:rPr>
        <w:t>Lignes directrices d’admissibilité</w:t>
      </w:r>
    </w:p>
    <w:p w14:paraId="74092EF3" w14:textId="77777777" w:rsidR="00B803CC" w:rsidRDefault="00000000">
      <w:pPr>
        <w:spacing w:after="450"/>
        <w:jc w:val="both"/>
        <w:rPr>
          <w:rFonts w:ascii="&amp;quot" w:eastAsia="&amp;quot" w:hAnsi="&amp;quot" w:cs="&amp;quot"/>
          <w:sz w:val="40"/>
          <w:szCs w:val="40"/>
        </w:rPr>
      </w:pPr>
      <w:r>
        <w:rPr>
          <w:rFonts w:ascii="&amp;quot" w:eastAsia="&amp;quot" w:hAnsi="&amp;quot" w:cs="&amp;quot"/>
        </w:rPr>
        <w:t xml:space="preserve">Tous les membres de l’organisation ont le droit de s’identifier en fonction de leur identité de genre et d’être considérés comme étant du genre qui correspond à leur identité de genre, peu importe l’étape du processus de transition où ils se trouvent. Les hommes transgenres (les personnes en transition de femme à homme) doivent être considérés comme étant des hommes et les femmes transgenres (les personnes en transition d’homme à femme) doivent être considérées comme étant des femmes. </w:t>
      </w:r>
    </w:p>
    <w:p w14:paraId="1F5B1608" w14:textId="1EBB97D6" w:rsidR="00B803CC" w:rsidRPr="00CA4D01" w:rsidRDefault="00000000">
      <w:pPr>
        <w:pBdr>
          <w:top w:val="nil"/>
          <w:left w:val="nil"/>
          <w:bottom w:val="nil"/>
          <w:right w:val="nil"/>
          <w:between w:val="nil"/>
        </w:pBdr>
        <w:jc w:val="both"/>
        <w:rPr>
          <w:rFonts w:ascii="&amp;quot" w:eastAsia="&amp;quot" w:hAnsi="&amp;quot" w:cs="&amp;quot"/>
        </w:rPr>
      </w:pPr>
      <w:r>
        <w:rPr>
          <w:rFonts w:ascii="&amp;quot" w:eastAsia="&amp;quot" w:hAnsi="&amp;quot" w:cs="&amp;quot"/>
        </w:rPr>
        <w:t xml:space="preserve">Les membres de l’organisation qui participent dans un rôle autre </w:t>
      </w:r>
      <w:r w:rsidRPr="00CA4D01">
        <w:rPr>
          <w:rFonts w:ascii="&amp;quot" w:eastAsia="&amp;quot" w:hAnsi="&amp;quot" w:cs="&amp;quot"/>
        </w:rPr>
        <w:t xml:space="preserve">que joueur (entraineurs, arbitres, administrateurs, etc.) peuvent participer aux activités de l’organisation en fonction de leur identité de genre, sans restriction (les hommes transgenres participent en tant qu’hommes et les femmes transgenres participent en tant que femmes). </w:t>
      </w:r>
    </w:p>
    <w:p w14:paraId="0468E270" w14:textId="77777777" w:rsidR="00B803CC" w:rsidRPr="00CA4D01" w:rsidRDefault="00B803CC">
      <w:pPr>
        <w:pBdr>
          <w:top w:val="nil"/>
          <w:left w:val="nil"/>
          <w:bottom w:val="nil"/>
          <w:right w:val="nil"/>
          <w:between w:val="nil"/>
        </w:pBdr>
        <w:jc w:val="both"/>
        <w:rPr>
          <w:rFonts w:ascii="&amp;quot" w:eastAsia="&amp;quot" w:hAnsi="&amp;quot" w:cs="&amp;quot"/>
        </w:rPr>
      </w:pPr>
    </w:p>
    <w:p w14:paraId="46C398A3" w14:textId="1DBCA41E" w:rsidR="00B803CC" w:rsidRDefault="00000000">
      <w:pPr>
        <w:pBdr>
          <w:top w:val="nil"/>
          <w:left w:val="nil"/>
          <w:bottom w:val="nil"/>
          <w:right w:val="nil"/>
          <w:between w:val="nil"/>
        </w:pBdr>
        <w:jc w:val="both"/>
        <w:rPr>
          <w:rFonts w:ascii="&amp;quot" w:eastAsia="&amp;quot" w:hAnsi="&amp;quot" w:cs="&amp;quot"/>
        </w:rPr>
      </w:pPr>
      <w:r w:rsidRPr="00CA4D01">
        <w:rPr>
          <w:rFonts w:ascii="&amp;quot" w:eastAsia="&amp;quot" w:hAnsi="&amp;quot" w:cs="&amp;quot"/>
        </w:rPr>
        <w:t>Les membres de l’organisation qui participent dans un rôle</w:t>
      </w:r>
      <w:r w:rsidR="00FA520D" w:rsidRPr="00CA4D01">
        <w:rPr>
          <w:rFonts w:ascii="&amp;quot" w:eastAsia="&amp;quot" w:hAnsi="&amp;quot" w:cs="&amp;quot"/>
        </w:rPr>
        <w:t>-</w:t>
      </w:r>
      <w:r w:rsidRPr="00CA4D01">
        <w:rPr>
          <w:rFonts w:ascii="&amp;quot" w:eastAsia="&amp;quot" w:hAnsi="&amp;quot" w:cs="&amp;quot"/>
        </w:rPr>
        <w:t>joueur peuvent participer aux activités de l’organisation en fonction de leur identité de genre,</w:t>
      </w:r>
      <w:r w:rsidR="00FA520D" w:rsidRPr="00CA4D01">
        <w:rPr>
          <w:rFonts w:ascii="&amp;quot" w:eastAsia="&amp;quot" w:hAnsi="&amp;quot" w:cs="&amp;quot"/>
        </w:rPr>
        <w:t xml:space="preserve"> selon</w:t>
      </w:r>
      <w:r>
        <w:rPr>
          <w:rFonts w:ascii="&amp;quot" w:eastAsia="&amp;quot" w:hAnsi="&amp;quot" w:cs="&amp;quot"/>
        </w:rPr>
        <w:t xml:space="preserve">: </w:t>
      </w:r>
    </w:p>
    <w:p w14:paraId="58C376A9" w14:textId="77777777" w:rsidR="00B803CC" w:rsidRDefault="00B803CC">
      <w:pPr>
        <w:pBdr>
          <w:top w:val="nil"/>
          <w:left w:val="nil"/>
          <w:bottom w:val="nil"/>
          <w:right w:val="nil"/>
          <w:between w:val="nil"/>
        </w:pBdr>
        <w:jc w:val="both"/>
        <w:rPr>
          <w:rFonts w:ascii="&amp;quot" w:eastAsia="&amp;quot" w:hAnsi="&amp;quot" w:cs="&amp;quot"/>
        </w:rPr>
      </w:pPr>
    </w:p>
    <w:p w14:paraId="5DAC1C3E" w14:textId="77777777" w:rsidR="00B803CC" w:rsidRDefault="00000000">
      <w:pPr>
        <w:numPr>
          <w:ilvl w:val="0"/>
          <w:numId w:val="2"/>
        </w:numPr>
        <w:pBdr>
          <w:top w:val="nil"/>
          <w:left w:val="nil"/>
          <w:bottom w:val="nil"/>
          <w:right w:val="nil"/>
          <w:between w:val="nil"/>
        </w:pBdr>
        <w:spacing w:after="66"/>
        <w:jc w:val="both"/>
        <w:rPr>
          <w:rFonts w:ascii="&amp;quot" w:eastAsia="&amp;quot" w:hAnsi="&amp;quot" w:cs="&amp;quot"/>
        </w:rPr>
      </w:pPr>
      <w:r>
        <w:rPr>
          <w:rFonts w:ascii="&amp;quot" w:eastAsia="&amp;quot" w:hAnsi="&amp;quot" w:cs="&amp;quot"/>
        </w:rPr>
        <w:lastRenderedPageBreak/>
        <w:t xml:space="preserve">Les joueurs prépubères peuvent concourir dans la catégorie qui correspond à leur identité de genre s’ils le souhaitent. Les garçons transgenres prépubères peuvent concourir dans la catégorie masculine ou féminine. </w:t>
      </w:r>
    </w:p>
    <w:p w14:paraId="2EC4511D" w14:textId="77777777" w:rsidR="00B803CC" w:rsidRDefault="00000000">
      <w:pPr>
        <w:numPr>
          <w:ilvl w:val="0"/>
          <w:numId w:val="2"/>
        </w:numPr>
        <w:pBdr>
          <w:top w:val="nil"/>
          <w:left w:val="nil"/>
          <w:bottom w:val="nil"/>
          <w:right w:val="nil"/>
          <w:between w:val="nil"/>
        </w:pBdr>
        <w:spacing w:after="66"/>
        <w:jc w:val="both"/>
        <w:rPr>
          <w:rFonts w:ascii="&amp;quot" w:eastAsia="&amp;quot" w:hAnsi="&amp;quot" w:cs="&amp;quot"/>
        </w:rPr>
      </w:pPr>
      <w:r>
        <w:rPr>
          <w:rFonts w:ascii="&amp;quot" w:eastAsia="&amp;quot" w:hAnsi="&amp;quot" w:cs="&amp;quot"/>
        </w:rPr>
        <w:t xml:space="preserve">Les filles transgenres prépubères peuvent concourir dans la catégorie féminine ou masculine. </w:t>
      </w:r>
    </w:p>
    <w:p w14:paraId="3C68902A" w14:textId="77777777" w:rsidR="00B803CC" w:rsidRDefault="00000000">
      <w:pPr>
        <w:numPr>
          <w:ilvl w:val="0"/>
          <w:numId w:val="2"/>
        </w:numPr>
        <w:pBdr>
          <w:top w:val="nil"/>
          <w:left w:val="nil"/>
          <w:bottom w:val="nil"/>
          <w:right w:val="nil"/>
          <w:between w:val="nil"/>
        </w:pBdr>
        <w:spacing w:after="66"/>
        <w:jc w:val="both"/>
        <w:rPr>
          <w:rFonts w:ascii="&amp;quot" w:eastAsia="&amp;quot" w:hAnsi="&amp;quot" w:cs="&amp;quot"/>
        </w:rPr>
      </w:pPr>
      <w:r>
        <w:rPr>
          <w:rFonts w:ascii="&amp;quot" w:eastAsia="&amp;quot" w:hAnsi="&amp;quot" w:cs="&amp;quot"/>
        </w:rPr>
        <w:t xml:space="preserve">Les garçons transgenres peuvent concourir dans la catégorie masculine, sans restriction. </w:t>
      </w:r>
    </w:p>
    <w:p w14:paraId="126F71CE" w14:textId="22D792A2" w:rsidR="00B803CC" w:rsidRPr="00CA4D01" w:rsidRDefault="00000000">
      <w:pPr>
        <w:numPr>
          <w:ilvl w:val="0"/>
          <w:numId w:val="2"/>
        </w:numPr>
        <w:pBdr>
          <w:top w:val="nil"/>
          <w:left w:val="nil"/>
          <w:bottom w:val="nil"/>
          <w:right w:val="nil"/>
          <w:between w:val="nil"/>
        </w:pBdr>
        <w:spacing w:after="66"/>
        <w:jc w:val="both"/>
        <w:rPr>
          <w:rFonts w:ascii="&amp;quot" w:eastAsia="&amp;quot" w:hAnsi="&amp;quot" w:cs="&amp;quot"/>
        </w:rPr>
      </w:pPr>
      <w:r>
        <w:rPr>
          <w:rFonts w:ascii="&amp;quot" w:eastAsia="&amp;quot" w:hAnsi="&amp;quot" w:cs="&amp;quot"/>
        </w:rPr>
        <w:t xml:space="preserve">Les filles transgenres peuvent concourir dans la catégorie féminine </w:t>
      </w:r>
      <w:r w:rsidR="00FA520D" w:rsidRPr="00CA4D01">
        <w:rPr>
          <w:rFonts w:ascii="&amp;quot" w:eastAsia="&amp;quot" w:hAnsi="&amp;quot" w:cs="&amp;quot"/>
        </w:rPr>
        <w:t>selon</w:t>
      </w:r>
      <w:r w:rsidRPr="00CA4D01">
        <w:rPr>
          <w:rFonts w:ascii="&amp;quot" w:eastAsia="&amp;quot" w:hAnsi="&amp;quot" w:cs="&amp;quot"/>
        </w:rPr>
        <w:t xml:space="preserve"> les conditions suivantes: </w:t>
      </w:r>
    </w:p>
    <w:p w14:paraId="586D9771" w14:textId="5A53EF0E" w:rsidR="00B803CC" w:rsidRDefault="00000000">
      <w:pPr>
        <w:numPr>
          <w:ilvl w:val="1"/>
          <w:numId w:val="2"/>
        </w:numPr>
        <w:pBdr>
          <w:top w:val="nil"/>
          <w:left w:val="nil"/>
          <w:bottom w:val="nil"/>
          <w:right w:val="nil"/>
          <w:between w:val="nil"/>
        </w:pBdr>
        <w:jc w:val="both"/>
        <w:rPr>
          <w:rFonts w:ascii="&amp;quot" w:eastAsia="&amp;quot" w:hAnsi="&amp;quot" w:cs="&amp;quot"/>
        </w:rPr>
      </w:pPr>
      <w:r w:rsidRPr="00CA4D01">
        <w:rPr>
          <w:rFonts w:ascii="&amp;quot" w:eastAsia="&amp;quot" w:hAnsi="&amp;quot" w:cs="&amp;quot"/>
        </w:rPr>
        <w:t>Afin de minimiser tout avantage compétitif résultant de l’exposition à la testostérone, on pourrait demander aux filles/femmes transgenres souhaitant concourir dans la catégorie féminine de démontrer qu’elles ont suivi un traitement de suppression de la testostérone et/ou que leur niveau de testostérone est inférieur</w:t>
      </w:r>
      <w:r w:rsidR="00FA520D" w:rsidRPr="00CA4D01">
        <w:rPr>
          <w:rFonts w:ascii="&amp;quot" w:eastAsia="&amp;quot" w:hAnsi="&amp;quot" w:cs="&amp;quot"/>
        </w:rPr>
        <w:t xml:space="preserve"> d’une certaine valeur </w:t>
      </w:r>
      <w:r w:rsidRPr="00CA4D01">
        <w:rPr>
          <w:rFonts w:ascii="&amp;quot" w:eastAsia="&amp;quot" w:hAnsi="&amp;quot" w:cs="&amp;quot"/>
        </w:rPr>
        <w:t xml:space="preserve">pendant une </w:t>
      </w:r>
      <w:r w:rsidR="00CA4D01" w:rsidRPr="00CA4D01">
        <w:rPr>
          <w:rFonts w:ascii="&amp;quot" w:eastAsia="&amp;quot" w:hAnsi="&amp;quot" w:cs="&amp;quot"/>
        </w:rPr>
        <w:t>période</w:t>
      </w:r>
      <w:r w:rsidRPr="00CA4D01">
        <w:rPr>
          <w:rFonts w:ascii="&amp;quot" w:eastAsia="&amp;quot" w:hAnsi="&amp;quot" w:cs="&amp;quot"/>
        </w:rPr>
        <w:t xml:space="preserve"> déterminée. La documentation d’un praticien de la santé certifiant ce fait sera </w:t>
      </w:r>
      <w:r>
        <w:rPr>
          <w:rFonts w:ascii="&amp;quot" w:eastAsia="&amp;quot" w:hAnsi="&amp;quot" w:cs="&amp;quot"/>
        </w:rPr>
        <w:t xml:space="preserve">considérée comme étant suffisante. </w:t>
      </w:r>
    </w:p>
    <w:p w14:paraId="7F57BF4F" w14:textId="77777777" w:rsidR="00B803CC" w:rsidRDefault="00B803CC">
      <w:pPr>
        <w:pBdr>
          <w:top w:val="nil"/>
          <w:left w:val="nil"/>
          <w:bottom w:val="nil"/>
          <w:right w:val="nil"/>
          <w:between w:val="nil"/>
        </w:pBdr>
        <w:jc w:val="both"/>
        <w:rPr>
          <w:rFonts w:ascii="&amp;quot" w:eastAsia="&amp;quot" w:hAnsi="&amp;quot" w:cs="&amp;quot"/>
        </w:rPr>
      </w:pPr>
    </w:p>
    <w:p w14:paraId="6453442A" w14:textId="65795586" w:rsidR="00B803CC" w:rsidRDefault="00FA520D">
      <w:pPr>
        <w:pBdr>
          <w:top w:val="nil"/>
          <w:left w:val="nil"/>
          <w:bottom w:val="nil"/>
          <w:right w:val="nil"/>
          <w:between w:val="nil"/>
        </w:pBdr>
        <w:jc w:val="both"/>
        <w:rPr>
          <w:rFonts w:ascii="&amp;quot" w:eastAsia="&amp;quot" w:hAnsi="&amp;quot" w:cs="&amp;quot"/>
          <w:b/>
          <w:i/>
        </w:rPr>
      </w:pPr>
      <w:r w:rsidRPr="00FA520D">
        <w:rPr>
          <w:rFonts w:ascii="&amp;quot" w:eastAsia="&amp;quot" w:hAnsi="&amp;quot" w:cs="&amp;quot"/>
          <w:b/>
          <w:i/>
        </w:rPr>
        <w:t xml:space="preserve">Rien dans ces lignes </w:t>
      </w:r>
      <w:r w:rsidRPr="00CA4D01">
        <w:rPr>
          <w:rFonts w:ascii="&amp;quot" w:eastAsia="&amp;quot" w:hAnsi="&amp;quot" w:cs="&amp;quot"/>
          <w:b/>
          <w:i/>
        </w:rPr>
        <w:t xml:space="preserve">directrices n’a pour but </w:t>
      </w:r>
      <w:r w:rsidRPr="00FA520D">
        <w:rPr>
          <w:rFonts w:ascii="&amp;quot" w:eastAsia="&amp;quot" w:hAnsi="&amp;quot" w:cs="&amp;quot"/>
          <w:b/>
          <w:i/>
        </w:rPr>
        <w:t xml:space="preserve">de </w:t>
      </w:r>
      <w:r>
        <w:rPr>
          <w:rFonts w:ascii="&amp;quot" w:eastAsia="&amp;quot" w:hAnsi="&amp;quot" w:cs="&amp;quot"/>
          <w:b/>
          <w:i/>
        </w:rPr>
        <w:t xml:space="preserve">saper, de quelque manière que ce soit, l’exigence de se conformer au Code mondial antidopage et aux normes internationales de l’Agence mondiale antidopage (AMA). </w:t>
      </w:r>
    </w:p>
    <w:p w14:paraId="696AF2DF" w14:textId="77777777" w:rsidR="00B803CC" w:rsidRDefault="00000000">
      <w:pPr>
        <w:spacing w:before="450"/>
        <w:rPr>
          <w:rFonts w:ascii="&amp;quot" w:eastAsia="&amp;quot" w:hAnsi="&amp;quot" w:cs="&amp;quot"/>
          <w:sz w:val="40"/>
          <w:szCs w:val="40"/>
        </w:rPr>
      </w:pPr>
      <w:r>
        <w:rPr>
          <w:rFonts w:ascii="&amp;quot" w:eastAsia="&amp;quot" w:hAnsi="&amp;quot" w:cs="&amp;quot"/>
          <w:sz w:val="40"/>
          <w:szCs w:val="40"/>
        </w:rPr>
        <w:t>Enregistrement du genre ou du changement de genre</w:t>
      </w:r>
    </w:p>
    <w:p w14:paraId="46F43944" w14:textId="77777777" w:rsidR="00B803CC" w:rsidRDefault="00000000">
      <w:pPr>
        <w:jc w:val="both"/>
        <w:rPr>
          <w:rFonts w:ascii="&amp;quot" w:eastAsia="&amp;quot" w:hAnsi="&amp;quot" w:cs="&amp;quot"/>
        </w:rPr>
      </w:pPr>
      <w:r>
        <w:rPr>
          <w:rFonts w:ascii="&amp;quot" w:eastAsia="&amp;quot" w:hAnsi="&amp;quot" w:cs="&amp;quot"/>
        </w:rPr>
        <w:t xml:space="preserve">L’organisation doit respecter le droit des personnes de s’identifier selon le genre de leur choix et, dès réception de la notification d’un membre en ce sens, l’organisation doit enregistrer ou mettre à jour les données de genre de sorte qu’elles correspondent à leur identité de genre. Les garçons ou hommes transgenres doivent être inscrits comme étant de sexe masculin; les filles ou femmes transgenres doivent être inscrites comme étant de sexe féminin. </w:t>
      </w:r>
    </w:p>
    <w:p w14:paraId="2245C0E5" w14:textId="77777777" w:rsidR="00B803CC" w:rsidRDefault="00B803CC">
      <w:pPr>
        <w:jc w:val="both"/>
        <w:rPr>
          <w:rFonts w:ascii="&amp;quot" w:eastAsia="&amp;quot" w:hAnsi="&amp;quot" w:cs="&amp;quot"/>
        </w:rPr>
      </w:pPr>
    </w:p>
    <w:p w14:paraId="6905C6D6" w14:textId="0B3C13F8" w:rsidR="00B803CC" w:rsidRPr="00CA4D01" w:rsidRDefault="00FA520D">
      <w:pPr>
        <w:jc w:val="both"/>
        <w:rPr>
          <w:rFonts w:ascii="&amp;quot" w:eastAsia="&amp;quot" w:hAnsi="&amp;quot" w:cs="&amp;quot"/>
        </w:rPr>
      </w:pPr>
      <w:r w:rsidRPr="00CA4D01">
        <w:rPr>
          <w:rFonts w:ascii="&amp;quot" w:eastAsia="&amp;quot" w:hAnsi="&amp;quot" w:cs="&amp;quot"/>
        </w:rPr>
        <w:t xml:space="preserve">Quel que soit le sexe </w:t>
      </w:r>
      <w:r>
        <w:rPr>
          <w:rFonts w:ascii="&amp;quot" w:eastAsia="&amp;quot" w:hAnsi="&amp;quot" w:cs="&amp;quot"/>
        </w:rPr>
        <w:t xml:space="preserve">inscrit dans les dossiers de l’organisation, toutes les joueuses filles ou femmes transgenres sont soumises aux lignes directrices d’admissibilité contenues dans </w:t>
      </w:r>
      <w:r w:rsidRPr="00CA4D01">
        <w:rPr>
          <w:rFonts w:ascii="&amp;quot" w:eastAsia="&amp;quot" w:hAnsi="&amp;quot" w:cs="&amp;quot"/>
        </w:rPr>
        <w:t xml:space="preserve">cette politique. Les filles ou femmes transgenres qui ne suivent pas de traitement de suppression de la testostérone et/ou dont le niveau de testostérone n’est pas inférieur d’une certaine valeur pourraient être considérées comme étant inadmissibles à concourir dans la catégorie féminine. </w:t>
      </w:r>
    </w:p>
    <w:p w14:paraId="1DAA020B" w14:textId="77777777" w:rsidR="00B803CC" w:rsidRDefault="00B803CC">
      <w:pPr>
        <w:rPr>
          <w:rFonts w:ascii="&amp;quot" w:eastAsia="&amp;quot" w:hAnsi="&amp;quot" w:cs="&amp;quot"/>
          <w:sz w:val="40"/>
          <w:szCs w:val="40"/>
        </w:rPr>
      </w:pPr>
    </w:p>
    <w:p w14:paraId="1E1D34F8" w14:textId="77777777" w:rsidR="00B803CC" w:rsidRDefault="00000000">
      <w:pPr>
        <w:rPr>
          <w:rFonts w:ascii="&amp;quot" w:eastAsia="&amp;quot" w:hAnsi="&amp;quot" w:cs="&amp;quot"/>
          <w:sz w:val="40"/>
          <w:szCs w:val="40"/>
        </w:rPr>
      </w:pPr>
      <w:r>
        <w:rPr>
          <w:rFonts w:ascii="&amp;quot" w:eastAsia="&amp;quot" w:hAnsi="&amp;quot" w:cs="&amp;quot"/>
          <w:sz w:val="40"/>
          <w:szCs w:val="40"/>
        </w:rPr>
        <w:t>Accès aux installations</w:t>
      </w:r>
    </w:p>
    <w:p w14:paraId="6185C0D2" w14:textId="4E419E93" w:rsidR="00B803CC" w:rsidRDefault="00000000">
      <w:pPr>
        <w:jc w:val="both"/>
        <w:rPr>
          <w:rFonts w:ascii="&amp;quot" w:eastAsia="&amp;quot" w:hAnsi="&amp;quot" w:cs="&amp;quot"/>
        </w:rPr>
      </w:pPr>
      <w:r>
        <w:rPr>
          <w:rFonts w:ascii="&amp;quot" w:eastAsia="&amp;quot" w:hAnsi="&amp;quot" w:cs="&amp;quot"/>
        </w:rPr>
        <w:t xml:space="preserve">Vestiaires, toilettes et douches – Les personnes transgenres ont le droit d’utiliser les vestiaires, les toilettes et les douches qui correspondent à leur identité de genre et/ou qui représentent l’environnement le plus sécuritaire et le plus confortable pour elles, peu importe où elles se trouvent dans le processus de transition. Les filles ou femmes transgenres ont le droit d’utiliser les vestiaires, les toilettes et les douches des personnes de sexe féminin; les garçons ou hommes </w:t>
      </w:r>
      <w:r>
        <w:rPr>
          <w:rFonts w:ascii="&amp;quot" w:eastAsia="&amp;quot" w:hAnsi="&amp;quot" w:cs="&amp;quot"/>
        </w:rPr>
        <w:lastRenderedPageBreak/>
        <w:t xml:space="preserve">transgenres ont le droit d’utiliser les vestiaires, les toilettes et les douches des personnes de sexe masculin. La décision quant aux installations à utiliser est à la seule discrétion des personnes concernées, et les personnes transgenres </w:t>
      </w:r>
      <w:r w:rsidRPr="00CA4D01">
        <w:rPr>
          <w:rFonts w:ascii="&amp;quot" w:eastAsia="&amp;quot" w:hAnsi="&amp;quot" w:cs="&amp;quot"/>
        </w:rPr>
        <w:t>n</w:t>
      </w:r>
      <w:r w:rsidR="00FA520D" w:rsidRPr="00CA4D01">
        <w:rPr>
          <w:rFonts w:ascii="&amp;quot" w:eastAsia="&amp;quot" w:hAnsi="&amp;quot" w:cs="&amp;quot"/>
        </w:rPr>
        <w:t>e seront pas tenue</w:t>
      </w:r>
      <w:r w:rsidRPr="00CA4D01">
        <w:rPr>
          <w:rFonts w:ascii="&amp;quot" w:eastAsia="&amp;quot" w:hAnsi="&amp;quot" w:cs="&amp;quot"/>
        </w:rPr>
        <w:t xml:space="preserve"> à utiliser des installations distinctes de celles utilisées par les autres membres de leur sexe</w:t>
      </w:r>
      <w:r>
        <w:rPr>
          <w:rFonts w:ascii="&amp;quot" w:eastAsia="&amp;quot" w:hAnsi="&amp;quot" w:cs="&amp;quot"/>
        </w:rPr>
        <w:t>. Toute personne (transgenre ou non) qui a besoin</w:t>
      </w:r>
      <w:r w:rsidR="00FA520D">
        <w:rPr>
          <w:rFonts w:ascii="&amp;quot" w:eastAsia="&amp;quot" w:hAnsi="&amp;quot" w:cs="&amp;quot"/>
        </w:rPr>
        <w:t>,</w:t>
      </w:r>
      <w:r>
        <w:rPr>
          <w:rFonts w:ascii="&amp;quot" w:eastAsia="&amp;quot" w:hAnsi="&amp;quot" w:cs="&amp;quot"/>
        </w:rPr>
        <w:t xml:space="preserve"> ou qui souhaite plus d’intimité, quelle que soit la raison, devrait bénéficier d’une option raisonnable pour se changer (utiliser un espace privé ou un vestiaire correspondant à son identité de genre avant ou après les autres). </w:t>
      </w:r>
    </w:p>
    <w:p w14:paraId="63431101" w14:textId="77777777" w:rsidR="00B803CC" w:rsidRDefault="00B803CC">
      <w:pPr>
        <w:jc w:val="both"/>
        <w:rPr>
          <w:rFonts w:ascii="&amp;quot" w:eastAsia="&amp;quot" w:hAnsi="&amp;quot" w:cs="&amp;quot"/>
        </w:rPr>
      </w:pPr>
    </w:p>
    <w:p w14:paraId="1EF02F9A" w14:textId="77777777" w:rsidR="00B803CC" w:rsidRDefault="00B803CC">
      <w:pPr>
        <w:jc w:val="both"/>
        <w:rPr>
          <w:rFonts w:ascii="&amp;quot" w:eastAsia="&amp;quot" w:hAnsi="&amp;quot" w:cs="&amp;quot"/>
        </w:rPr>
      </w:pPr>
    </w:p>
    <w:p w14:paraId="7F5EF16C" w14:textId="77777777" w:rsidR="00B803CC" w:rsidRDefault="00000000">
      <w:pPr>
        <w:rPr>
          <w:rFonts w:ascii="&amp;quot" w:eastAsia="&amp;quot" w:hAnsi="&amp;quot" w:cs="&amp;quot"/>
          <w:sz w:val="40"/>
          <w:szCs w:val="40"/>
        </w:rPr>
      </w:pPr>
      <w:r>
        <w:rPr>
          <w:rFonts w:ascii="&amp;quot" w:eastAsia="&amp;quot" w:hAnsi="&amp;quot" w:cs="&amp;quot"/>
          <w:sz w:val="40"/>
          <w:szCs w:val="40"/>
        </w:rPr>
        <w:t xml:space="preserve">Confidentialité  </w:t>
      </w:r>
    </w:p>
    <w:p w14:paraId="7860AB33" w14:textId="2F066D6B" w:rsidR="00B803CC" w:rsidRPr="00CA4D01" w:rsidRDefault="00000000">
      <w:pPr>
        <w:jc w:val="both"/>
        <w:rPr>
          <w:rFonts w:ascii="&amp;quot" w:eastAsia="&amp;quot" w:hAnsi="&amp;quot" w:cs="&amp;quot"/>
        </w:rPr>
      </w:pPr>
      <w:r>
        <w:rPr>
          <w:rFonts w:ascii="&amp;quot" w:eastAsia="&amp;quot" w:hAnsi="&amp;quot" w:cs="&amp;quot"/>
        </w:rPr>
        <w:t xml:space="preserve">Les parties conviennent qu’à aucun moment elles ne divulgueront </w:t>
      </w:r>
      <w:r w:rsidR="00FA520D">
        <w:rPr>
          <w:rFonts w:ascii="&amp;quot" w:eastAsia="&amp;quot" w:hAnsi="&amp;quot" w:cs="&amp;quot"/>
        </w:rPr>
        <w:t xml:space="preserve">des </w:t>
      </w:r>
      <w:r w:rsidR="00FA520D" w:rsidRPr="00CA4D01">
        <w:rPr>
          <w:rFonts w:ascii="&amp;quot" w:eastAsia="&amp;quot" w:hAnsi="&amp;quot" w:cs="&amp;quot"/>
        </w:rPr>
        <w:t>informations identifiées</w:t>
      </w:r>
      <w:r w:rsidRPr="00CA4D01">
        <w:rPr>
          <w:rFonts w:ascii="&amp;quot" w:eastAsia="&amp;quot" w:hAnsi="&amp;quot" w:cs="&amp;quot"/>
        </w:rPr>
        <w:t xml:space="preserve"> par une autre partie comme étant confidentiels à toute personne, société ou tierce partie et ne n’utiliseront pas les </w:t>
      </w:r>
      <w:r w:rsidR="00FA520D" w:rsidRPr="00CA4D01">
        <w:rPr>
          <w:rFonts w:ascii="&amp;quot" w:eastAsia="&amp;quot" w:hAnsi="&amp;quot" w:cs="&amp;quot"/>
        </w:rPr>
        <w:t xml:space="preserve">informations </w:t>
      </w:r>
      <w:r w:rsidRPr="00CA4D01">
        <w:rPr>
          <w:rFonts w:ascii="&amp;quot" w:eastAsia="&amp;quot" w:hAnsi="&amp;quot" w:cs="&amp;quot"/>
        </w:rPr>
        <w:t>identifié</w:t>
      </w:r>
      <w:r w:rsidR="00FA520D" w:rsidRPr="00CA4D01">
        <w:rPr>
          <w:rFonts w:ascii="&amp;quot" w:eastAsia="&amp;quot" w:hAnsi="&amp;quot" w:cs="&amp;quot"/>
        </w:rPr>
        <w:t>e</w:t>
      </w:r>
      <w:r w:rsidRPr="00CA4D01">
        <w:rPr>
          <w:rFonts w:ascii="&amp;quot" w:eastAsia="&amp;quot" w:hAnsi="&amp;quot" w:cs="&amp;quot"/>
        </w:rPr>
        <w:t xml:space="preserve">s comme étant confidentiels (autrement que dans le cours ordinaire et habituel de mise en œuvre de </w:t>
      </w:r>
      <w:r w:rsidR="00FA520D" w:rsidRPr="00CA4D01">
        <w:rPr>
          <w:rFonts w:ascii="&amp;quot" w:eastAsia="&amp;quot" w:hAnsi="&amp;quot" w:cs="&amp;quot"/>
        </w:rPr>
        <w:t xml:space="preserve">cette </w:t>
      </w:r>
      <w:r w:rsidRPr="00CA4D01">
        <w:rPr>
          <w:rFonts w:ascii="&amp;quot" w:eastAsia="&amp;quot" w:hAnsi="&amp;quot" w:cs="&amp;quot"/>
        </w:rPr>
        <w:t xml:space="preserve">politique) sans le consentement écrit préalable de la partie divulgatrice, sauf si la loi l’exige. </w:t>
      </w:r>
    </w:p>
    <w:p w14:paraId="2F94C42E" w14:textId="77777777" w:rsidR="00B803CC" w:rsidRPr="00CA4D01" w:rsidRDefault="00B803CC">
      <w:pPr>
        <w:jc w:val="both"/>
        <w:rPr>
          <w:rFonts w:ascii="&amp;quot" w:eastAsia="&amp;quot" w:hAnsi="&amp;quot" w:cs="&amp;quot"/>
        </w:rPr>
      </w:pPr>
    </w:p>
    <w:p w14:paraId="7936EDE7" w14:textId="77777777" w:rsidR="00B803CC" w:rsidRPr="00CA4D01" w:rsidRDefault="00000000">
      <w:pPr>
        <w:rPr>
          <w:rFonts w:ascii="&amp;quot" w:eastAsia="&amp;quot" w:hAnsi="&amp;quot" w:cs="&amp;quot"/>
          <w:sz w:val="40"/>
          <w:szCs w:val="40"/>
        </w:rPr>
      </w:pPr>
      <w:r w:rsidRPr="00CA4D01">
        <w:rPr>
          <w:rFonts w:ascii="&amp;quot" w:eastAsia="&amp;quot" w:hAnsi="&amp;quot" w:cs="&amp;quot"/>
          <w:sz w:val="40"/>
          <w:szCs w:val="40"/>
        </w:rPr>
        <w:t>Appels</w:t>
      </w:r>
    </w:p>
    <w:p w14:paraId="4B51A4EA" w14:textId="208B53C1" w:rsidR="00B803CC" w:rsidRPr="00CA4D01" w:rsidRDefault="00000000">
      <w:pPr>
        <w:jc w:val="both"/>
        <w:rPr>
          <w:rFonts w:ascii="&amp;quot" w:eastAsia="&amp;quot" w:hAnsi="&amp;quot" w:cs="&amp;quot"/>
          <w:b/>
        </w:rPr>
      </w:pPr>
      <w:r w:rsidRPr="00CA4D01">
        <w:rPr>
          <w:rFonts w:ascii="&amp;quot" w:eastAsia="&amp;quot" w:hAnsi="&amp;quot" w:cs="&amp;quot"/>
        </w:rPr>
        <w:t xml:space="preserve">Toute décision rendue conformément </w:t>
      </w:r>
      <w:r w:rsidR="00FA520D" w:rsidRPr="00CA4D01">
        <w:rPr>
          <w:rFonts w:ascii="&amp;quot" w:eastAsia="&amp;quot" w:hAnsi="&amp;quot" w:cs="&amp;quot"/>
        </w:rPr>
        <w:t xml:space="preserve">à cette </w:t>
      </w:r>
      <w:r w:rsidRPr="00CA4D01">
        <w:rPr>
          <w:rFonts w:ascii="&amp;quot" w:eastAsia="&amp;quot" w:hAnsi="&amp;quot" w:cs="&amp;quot"/>
        </w:rPr>
        <w:t xml:space="preserve">politique peut faire l’objet d’un appel conformément à la politique d’appel de l’organisation. </w:t>
      </w:r>
    </w:p>
    <w:p w14:paraId="1630715D" w14:textId="77777777" w:rsidR="00B803CC" w:rsidRDefault="00B803CC">
      <w:pPr>
        <w:rPr>
          <w:rFonts w:ascii="Arial" w:eastAsia="Arial" w:hAnsi="Arial" w:cs="Arial"/>
          <w:sz w:val="20"/>
          <w:szCs w:val="20"/>
        </w:rPr>
      </w:pPr>
    </w:p>
    <w:p w14:paraId="5B79B3C8" w14:textId="77777777" w:rsidR="00B803CC" w:rsidRDefault="00B803CC">
      <w:pPr>
        <w:rPr>
          <w:rFonts w:ascii="&amp;quot" w:eastAsia="&amp;quot" w:hAnsi="&amp;quot" w:cs="&amp;quot"/>
        </w:rPr>
      </w:pPr>
    </w:p>
    <w:sectPr w:rsidR="00B803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AC95" w14:textId="77777777" w:rsidR="00B5257E" w:rsidRDefault="00B5257E">
      <w:r>
        <w:separator/>
      </w:r>
    </w:p>
  </w:endnote>
  <w:endnote w:type="continuationSeparator" w:id="0">
    <w:p w14:paraId="68D2D40A" w14:textId="77777777" w:rsidR="00B5257E" w:rsidRDefault="00B5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mp;quot">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B942" w14:textId="77777777" w:rsidR="00B803CC" w:rsidRDefault="00B803CC">
    <w:pPr>
      <w:pBdr>
        <w:top w:val="nil"/>
        <w:left w:val="nil"/>
        <w:bottom w:val="nil"/>
        <w:right w:val="nil"/>
        <w:between w:val="nil"/>
      </w:pBdr>
      <w:tabs>
        <w:tab w:val="center" w:pos="4680"/>
        <w:tab w:val="right" w:pos="9360"/>
      </w:tabs>
      <w:rPr>
        <w:rFonts w:eastAsia="Arial Narrow" w:cs="Arial Narrow"/>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AF2C" w14:textId="77777777" w:rsidR="00B803CC" w:rsidRDefault="00000000">
    <w:pPr>
      <w:pBdr>
        <w:top w:val="nil"/>
        <w:left w:val="nil"/>
        <w:bottom w:val="nil"/>
        <w:right w:val="nil"/>
        <w:between w:val="nil"/>
      </w:pBdr>
      <w:tabs>
        <w:tab w:val="center" w:pos="4680"/>
        <w:tab w:val="right" w:pos="9360"/>
      </w:tabs>
      <w:jc w:val="center"/>
      <w:rPr>
        <w:rFonts w:ascii="Arial" w:eastAsia="Arial" w:hAnsi="Arial" w:cs="Arial"/>
      </w:rPr>
    </w:pPr>
    <w:r>
      <w:rPr>
        <w:noProof/>
      </w:rPr>
      <w:drawing>
        <wp:anchor distT="114300" distB="114300" distL="114300" distR="114300" simplePos="0" relativeHeight="251660288" behindDoc="0" locked="0" layoutInCell="1" hidden="0" allowOverlap="1" wp14:anchorId="6B1C5903" wp14:editId="398FC24C">
          <wp:simplePos x="0" y="0"/>
          <wp:positionH relativeFrom="column">
            <wp:posOffset>-942974</wp:posOffset>
          </wp:positionH>
          <wp:positionV relativeFrom="paragraph">
            <wp:posOffset>114300</wp:posOffset>
          </wp:positionV>
          <wp:extent cx="7829550" cy="1053978"/>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82136"/>
                  <a:stretch>
                    <a:fillRect/>
                  </a:stretch>
                </pic:blipFill>
                <pic:spPr>
                  <a:xfrm>
                    <a:off x="0" y="0"/>
                    <a:ext cx="7829550" cy="1053978"/>
                  </a:xfrm>
                  <a:prstGeom prst="rect">
                    <a:avLst/>
                  </a:prstGeom>
                  <a:ln/>
                </pic:spPr>
              </pic:pic>
            </a:graphicData>
          </a:graphic>
        </wp:anchor>
      </w:drawing>
    </w:r>
  </w:p>
  <w:p w14:paraId="6570E068" w14:textId="77777777" w:rsidR="00B803CC" w:rsidRDefault="00B803CC">
    <w:pPr>
      <w:pBdr>
        <w:top w:val="nil"/>
        <w:left w:val="nil"/>
        <w:bottom w:val="nil"/>
        <w:right w:val="nil"/>
        <w:between w:val="nil"/>
      </w:pBdr>
      <w:tabs>
        <w:tab w:val="center" w:pos="4680"/>
        <w:tab w:val="right" w:pos="9360"/>
      </w:tabs>
      <w:jc w:val="center"/>
      <w:rPr>
        <w:rFonts w:ascii="Arial" w:eastAsia="Arial" w:hAnsi="Arial" w:cs="Arial"/>
      </w:rPr>
    </w:pPr>
  </w:p>
  <w:p w14:paraId="365DE32D" w14:textId="77777777" w:rsidR="00B803CC" w:rsidRDefault="00B803CC">
    <w:pPr>
      <w:pBdr>
        <w:top w:val="nil"/>
        <w:left w:val="nil"/>
        <w:bottom w:val="nil"/>
        <w:right w:val="nil"/>
        <w:between w:val="nil"/>
      </w:pBdr>
      <w:tabs>
        <w:tab w:val="center" w:pos="4680"/>
        <w:tab w:val="right" w:pos="9360"/>
      </w:tabs>
      <w:jc w:val="center"/>
      <w:rPr>
        <w:rFonts w:ascii="Arial" w:eastAsia="Arial" w:hAnsi="Arial" w:cs="Arial"/>
      </w:rPr>
    </w:pPr>
  </w:p>
  <w:p w14:paraId="4AE116AE" w14:textId="77777777" w:rsidR="00B803CC" w:rsidRDefault="00B803CC">
    <w:pPr>
      <w:pBdr>
        <w:top w:val="nil"/>
        <w:left w:val="nil"/>
        <w:bottom w:val="nil"/>
        <w:right w:val="nil"/>
        <w:between w:val="nil"/>
      </w:pBdr>
      <w:tabs>
        <w:tab w:val="center" w:pos="4680"/>
        <w:tab w:val="right" w:pos="9360"/>
      </w:tabs>
      <w:jc w:val="center"/>
      <w:rPr>
        <w:rFonts w:ascii="Arial" w:eastAsia="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25C8" w14:textId="77777777" w:rsidR="00B803CC" w:rsidRDefault="00B803CC">
    <w:pPr>
      <w:pBdr>
        <w:top w:val="nil"/>
        <w:left w:val="nil"/>
        <w:bottom w:val="nil"/>
        <w:right w:val="nil"/>
        <w:between w:val="nil"/>
      </w:pBdr>
      <w:tabs>
        <w:tab w:val="center" w:pos="4680"/>
        <w:tab w:val="right" w:pos="9360"/>
      </w:tabs>
      <w:rPr>
        <w:rFonts w:eastAsia="Arial Narrow" w:cs="Arial Narrow"/>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0EC9F" w14:textId="77777777" w:rsidR="00B5257E" w:rsidRDefault="00B5257E">
      <w:r>
        <w:separator/>
      </w:r>
    </w:p>
  </w:footnote>
  <w:footnote w:type="continuationSeparator" w:id="0">
    <w:p w14:paraId="44023E67" w14:textId="77777777" w:rsidR="00B5257E" w:rsidRDefault="00B52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07F0" w14:textId="77777777" w:rsidR="00B803CC" w:rsidRDefault="00B803CC">
    <w:pPr>
      <w:pBdr>
        <w:top w:val="nil"/>
        <w:left w:val="nil"/>
        <w:bottom w:val="nil"/>
        <w:right w:val="nil"/>
        <w:between w:val="nil"/>
      </w:pBdr>
      <w:tabs>
        <w:tab w:val="center" w:pos="4680"/>
        <w:tab w:val="right" w:pos="9360"/>
      </w:tabs>
      <w:rPr>
        <w:rFonts w:eastAsia="Arial Narrow" w:cs="Arial Narrow"/>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C698" w14:textId="77777777" w:rsidR="00B803CC" w:rsidRDefault="00000000">
    <w:pPr>
      <w:pBdr>
        <w:top w:val="nil"/>
        <w:left w:val="nil"/>
        <w:bottom w:val="nil"/>
        <w:right w:val="nil"/>
        <w:between w:val="nil"/>
      </w:pBdr>
      <w:tabs>
        <w:tab w:val="center" w:pos="4680"/>
        <w:tab w:val="right" w:pos="9360"/>
      </w:tabs>
    </w:pPr>
    <w:r>
      <w:rPr>
        <w:noProof/>
      </w:rPr>
      <w:drawing>
        <wp:anchor distT="114300" distB="114300" distL="114300" distR="114300" simplePos="0" relativeHeight="251658240" behindDoc="0" locked="0" layoutInCell="1" hidden="0" allowOverlap="1" wp14:anchorId="0C35C8A8" wp14:editId="065F9566">
          <wp:simplePos x="0" y="0"/>
          <wp:positionH relativeFrom="column">
            <wp:posOffset>228600</wp:posOffset>
          </wp:positionH>
          <wp:positionV relativeFrom="paragraph">
            <wp:posOffset>-66674</wp:posOffset>
          </wp:positionV>
          <wp:extent cx="850583" cy="850583"/>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50583" cy="850583"/>
                  </a:xfrm>
                  <a:prstGeom prst="rect">
                    <a:avLst/>
                  </a:prstGeom>
                  <a:ln/>
                </pic:spPr>
              </pic:pic>
            </a:graphicData>
          </a:graphic>
        </wp:anchor>
      </w:drawing>
    </w:r>
  </w:p>
  <w:p w14:paraId="1CBC8E50" w14:textId="77777777" w:rsidR="00B803CC" w:rsidRDefault="00B803CC">
    <w:pPr>
      <w:pBdr>
        <w:top w:val="nil"/>
        <w:left w:val="nil"/>
        <w:bottom w:val="nil"/>
        <w:right w:val="nil"/>
        <w:between w:val="nil"/>
      </w:pBdr>
      <w:tabs>
        <w:tab w:val="center" w:pos="4680"/>
        <w:tab w:val="right" w:pos="9360"/>
      </w:tabs>
    </w:pPr>
  </w:p>
  <w:p w14:paraId="08AC456B" w14:textId="77777777" w:rsidR="00B803CC" w:rsidRDefault="00B803CC">
    <w:pPr>
      <w:pBdr>
        <w:top w:val="nil"/>
        <w:left w:val="nil"/>
        <w:bottom w:val="nil"/>
        <w:right w:val="nil"/>
        <w:between w:val="nil"/>
      </w:pBdr>
      <w:tabs>
        <w:tab w:val="center" w:pos="4680"/>
        <w:tab w:val="right" w:pos="9360"/>
      </w:tabs>
    </w:pPr>
  </w:p>
  <w:p w14:paraId="53EFCFBE" w14:textId="77777777" w:rsidR="00B803CC" w:rsidRDefault="00000000">
    <w:pPr>
      <w:pBdr>
        <w:top w:val="nil"/>
        <w:left w:val="nil"/>
        <w:bottom w:val="nil"/>
        <w:right w:val="nil"/>
        <w:between w:val="nil"/>
      </w:pBdr>
      <w:tabs>
        <w:tab w:val="center" w:pos="4680"/>
        <w:tab w:val="right" w:pos="9360"/>
      </w:tabs>
      <w:rPr>
        <w:rFonts w:eastAsia="Arial Narrow" w:cs="Arial Narrow"/>
        <w:color w:val="000000"/>
      </w:rPr>
    </w:pPr>
    <w:r>
      <w:br/>
    </w:r>
    <w:r>
      <w:rPr>
        <w:noProof/>
      </w:rPr>
      <w:drawing>
        <wp:anchor distT="114300" distB="114300" distL="114300" distR="114300" simplePos="0" relativeHeight="251659264" behindDoc="0" locked="0" layoutInCell="1" hidden="0" allowOverlap="1" wp14:anchorId="1BF31EA8" wp14:editId="58EBDA23">
          <wp:simplePos x="0" y="0"/>
          <wp:positionH relativeFrom="page">
            <wp:posOffset>-28574</wp:posOffset>
          </wp:positionH>
          <wp:positionV relativeFrom="page">
            <wp:posOffset>1905</wp:posOffset>
          </wp:positionV>
          <wp:extent cx="7829550" cy="1088708"/>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b="80769"/>
                  <a:stretch>
                    <a:fillRect/>
                  </a:stretch>
                </pic:blipFill>
                <pic:spPr>
                  <a:xfrm>
                    <a:off x="0" y="0"/>
                    <a:ext cx="7829550" cy="108870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46A1" w14:textId="77777777" w:rsidR="00B803CC" w:rsidRDefault="00B803CC">
    <w:pPr>
      <w:pBdr>
        <w:top w:val="nil"/>
        <w:left w:val="nil"/>
        <w:bottom w:val="nil"/>
        <w:right w:val="nil"/>
        <w:between w:val="nil"/>
      </w:pBdr>
      <w:tabs>
        <w:tab w:val="center" w:pos="4680"/>
        <w:tab w:val="right" w:pos="9360"/>
      </w:tabs>
      <w:rPr>
        <w:rFonts w:eastAsia="Arial Narrow" w:cs="Arial Narrow"/>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927A4"/>
    <w:multiLevelType w:val="multilevel"/>
    <w:tmpl w:val="E8F0D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EF6F9A"/>
    <w:multiLevelType w:val="multilevel"/>
    <w:tmpl w:val="65AA88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DF01215"/>
    <w:multiLevelType w:val="multilevel"/>
    <w:tmpl w:val="B296A5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93788468">
    <w:abstractNumId w:val="0"/>
  </w:num>
  <w:num w:numId="2" w16cid:durableId="1959800134">
    <w:abstractNumId w:val="1"/>
  </w:num>
  <w:num w:numId="3" w16cid:durableId="171723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3CC"/>
    <w:rsid w:val="00B5257E"/>
    <w:rsid w:val="00B57B69"/>
    <w:rsid w:val="00B803CC"/>
    <w:rsid w:val="00CA4D01"/>
    <w:rsid w:val="00FA52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F8EF761"/>
  <w15:docId w15:val="{0AE9E43F-79CA-BA47-9CA6-A2564442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311"/>
    <w:pPr>
      <w:contextualSpacing/>
    </w:pPr>
    <w:rPr>
      <w:rFonts w:eastAsia="Calibri" w:cs="Times New Roman"/>
      <w:lang w:bidi="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92311"/>
    <w:pPr>
      <w:tabs>
        <w:tab w:val="center" w:pos="4680"/>
        <w:tab w:val="right" w:pos="9360"/>
      </w:tabs>
    </w:pPr>
  </w:style>
  <w:style w:type="character" w:customStyle="1" w:styleId="HeaderChar">
    <w:name w:val="Header Char"/>
    <w:basedOn w:val="DefaultParagraphFont"/>
    <w:link w:val="Header"/>
    <w:uiPriority w:val="99"/>
    <w:rsid w:val="00A92311"/>
  </w:style>
  <w:style w:type="paragraph" w:styleId="Footer">
    <w:name w:val="footer"/>
    <w:basedOn w:val="Normal"/>
    <w:link w:val="FooterChar"/>
    <w:uiPriority w:val="99"/>
    <w:unhideWhenUsed/>
    <w:rsid w:val="00A92311"/>
    <w:pPr>
      <w:tabs>
        <w:tab w:val="center" w:pos="4680"/>
        <w:tab w:val="right" w:pos="9360"/>
      </w:tabs>
    </w:pPr>
  </w:style>
  <w:style w:type="character" w:customStyle="1" w:styleId="FooterChar">
    <w:name w:val="Footer Char"/>
    <w:basedOn w:val="DefaultParagraphFont"/>
    <w:link w:val="Footer"/>
    <w:uiPriority w:val="99"/>
    <w:rsid w:val="00A92311"/>
  </w:style>
  <w:style w:type="paragraph" w:styleId="BodyText">
    <w:name w:val="Body Text"/>
    <w:basedOn w:val="Normal"/>
    <w:link w:val="BodyTextChar"/>
    <w:semiHidden/>
    <w:unhideWhenUsed/>
    <w:rsid w:val="00A92311"/>
    <w:pPr>
      <w:contextualSpacing w:val="0"/>
    </w:pPr>
    <w:rPr>
      <w:rFonts w:ascii="Times New Roman" w:eastAsia="Times New Roman" w:hAnsi="Times New Roman"/>
      <w:b/>
      <w:bCs/>
      <w:sz w:val="20"/>
      <w:lang w:eastAsia="x-none" w:bidi="ar-SA"/>
    </w:rPr>
  </w:style>
  <w:style w:type="character" w:customStyle="1" w:styleId="BodyTextChar">
    <w:name w:val="Body Text Char"/>
    <w:basedOn w:val="DefaultParagraphFont"/>
    <w:link w:val="BodyText"/>
    <w:semiHidden/>
    <w:rsid w:val="00A92311"/>
    <w:rPr>
      <w:rFonts w:ascii="Times New Roman" w:eastAsia="Times New Roman" w:hAnsi="Times New Roman" w:cs="Times New Roman"/>
      <w:b/>
      <w:bCs/>
      <w:sz w:val="20"/>
      <w:szCs w:val="24"/>
      <w:lang w:val="fr-CA" w:eastAsia="x-none"/>
    </w:rPr>
  </w:style>
  <w:style w:type="paragraph" w:styleId="BodyText2">
    <w:name w:val="Body Text 2"/>
    <w:basedOn w:val="Normal"/>
    <w:link w:val="BodyText2Char"/>
    <w:semiHidden/>
    <w:unhideWhenUsed/>
    <w:rsid w:val="00A92311"/>
    <w:pPr>
      <w:contextualSpacing w:val="0"/>
    </w:pPr>
    <w:rPr>
      <w:rFonts w:ascii="Tahoma" w:eastAsia="Times New Roman" w:hAnsi="Tahoma"/>
      <w:b/>
      <w:bCs/>
      <w:sz w:val="28"/>
      <w:lang w:eastAsia="x-none" w:bidi="ar-SA"/>
    </w:rPr>
  </w:style>
  <w:style w:type="character" w:customStyle="1" w:styleId="BodyText2Char">
    <w:name w:val="Body Text 2 Char"/>
    <w:basedOn w:val="DefaultParagraphFont"/>
    <w:link w:val="BodyText2"/>
    <w:semiHidden/>
    <w:rsid w:val="00A92311"/>
    <w:rPr>
      <w:rFonts w:ascii="Tahoma" w:eastAsia="Times New Roman" w:hAnsi="Tahoma" w:cs="Times New Roman"/>
      <w:b/>
      <w:bCs/>
      <w:sz w:val="28"/>
      <w:szCs w:val="24"/>
      <w:lang w:val="fr-CA" w:eastAsia="x-none"/>
    </w:rPr>
  </w:style>
  <w:style w:type="character" w:customStyle="1" w:styleId="NoSpacingChar">
    <w:name w:val="No Spacing Char"/>
    <w:link w:val="NoSpacing"/>
    <w:uiPriority w:val="1"/>
    <w:locked/>
    <w:rsid w:val="00A92311"/>
    <w:rPr>
      <w:sz w:val="24"/>
      <w:lang w:bidi="en-US"/>
    </w:rPr>
  </w:style>
  <w:style w:type="paragraph" w:styleId="NoSpacing">
    <w:name w:val="No Spacing"/>
    <w:basedOn w:val="Normal"/>
    <w:link w:val="NoSpacingChar"/>
    <w:uiPriority w:val="1"/>
    <w:qFormat/>
    <w:rsid w:val="00A92311"/>
    <w:rPr>
      <w:rFonts w:asciiTheme="minorHAnsi" w:eastAsiaTheme="minorHAnsi" w:hAnsiTheme="minorHAnsi" w:cstheme="minorBidi"/>
    </w:rPr>
  </w:style>
  <w:style w:type="paragraph" w:styleId="ListParagraph">
    <w:name w:val="List Paragraph"/>
    <w:basedOn w:val="Normal"/>
    <w:uiPriority w:val="34"/>
    <w:qFormat/>
    <w:rsid w:val="00A92311"/>
    <w:pPr>
      <w:ind w:left="720"/>
    </w:pPr>
  </w:style>
  <w:style w:type="paragraph" w:customStyle="1" w:styleId="Default">
    <w:name w:val="Default"/>
    <w:rsid w:val="00346FF6"/>
    <w:pPr>
      <w:autoSpaceDE w:val="0"/>
      <w:autoSpaceDN w:val="0"/>
      <w:adjustRightInd w:val="0"/>
    </w:pPr>
    <w:rPr>
      <w:rFonts w:ascii="Calibri" w:hAnsi="Calibri" w:cs="Calibri"/>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sbENU7HUe05mWYt7bl9YoC4c4w==">CgMxLjA4AHIhMWtFYUlRNXVvOTJSUDFEYTlvMWozcloxZGozZjRWUHFV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1239</Words>
  <Characters>7066</Characters>
  <Application>Microsoft Office Word</Application>
  <DocSecurity>0</DocSecurity>
  <Lines>58</Lines>
  <Paragraphs>16</Paragraphs>
  <ScaleCrop>false</ScaleCrop>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Shupe</dc:creator>
  <cp:lastModifiedBy>Monica Bourque</cp:lastModifiedBy>
  <cp:revision>3</cp:revision>
  <dcterms:created xsi:type="dcterms:W3CDTF">2024-05-09T18:13:00Z</dcterms:created>
  <dcterms:modified xsi:type="dcterms:W3CDTF">2024-05-10T18:30:00Z</dcterms:modified>
</cp:coreProperties>
</file>