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EAF1" w14:textId="1A4B493E" w:rsidR="00DF6E06" w:rsidRPr="00556B4F" w:rsidRDefault="00962DE2">
      <w:pPr>
        <w:ind w:left="0" w:hanging="2"/>
        <w:jc w:val="center"/>
        <w:rPr>
          <w:rFonts w:ascii="Arial" w:eastAsia="Arial" w:hAnsi="Arial" w:cs="Arial"/>
          <w:sz w:val="22"/>
          <w:lang w:val="fr-CA"/>
        </w:rPr>
      </w:pPr>
      <w:r w:rsidRPr="00556B4F">
        <w:rPr>
          <w:rFonts w:ascii="Arial" w:eastAsia="Arial" w:hAnsi="Arial" w:cs="Arial"/>
          <w:b/>
          <w:sz w:val="22"/>
          <w:lang w:val="fr-CA"/>
        </w:rPr>
        <w:t>Politique d'inclusion</w:t>
      </w:r>
    </w:p>
    <w:p w14:paraId="36EF0814" w14:textId="77777777" w:rsidR="00DF6E06" w:rsidRPr="00556B4F" w:rsidRDefault="00DF6E06">
      <w:pPr>
        <w:ind w:left="0" w:hanging="2"/>
        <w:jc w:val="both"/>
        <w:rPr>
          <w:rFonts w:ascii="Arial" w:eastAsia="Arial" w:hAnsi="Arial" w:cs="Arial"/>
          <w:sz w:val="22"/>
          <w:lang w:val="fr-CA"/>
        </w:rPr>
      </w:pPr>
    </w:p>
    <w:p w14:paraId="0B15A9A8" w14:textId="77777777" w:rsidR="00DF6E06" w:rsidRPr="00556B4F" w:rsidRDefault="00962DE2">
      <w:pPr>
        <w:ind w:left="0" w:hanging="2"/>
        <w:jc w:val="both"/>
        <w:rPr>
          <w:rFonts w:ascii="Arial" w:eastAsia="Arial" w:hAnsi="Arial" w:cs="Arial"/>
          <w:sz w:val="22"/>
          <w:lang w:val="fr-CA"/>
        </w:rPr>
      </w:pPr>
      <w:r w:rsidRPr="00556B4F">
        <w:rPr>
          <w:rFonts w:ascii="Arial" w:eastAsia="Arial" w:hAnsi="Arial" w:cs="Arial"/>
          <w:b/>
          <w:sz w:val="22"/>
          <w:lang w:val="fr-CA"/>
        </w:rPr>
        <w:t>Principes directeurs</w:t>
      </w:r>
    </w:p>
    <w:p w14:paraId="591A42F5" w14:textId="729B0302" w:rsidR="00DF6E06" w:rsidRPr="00556B4F" w:rsidRDefault="00962DE2">
      <w:pPr>
        <w:numPr>
          <w:ilvl w:val="0"/>
          <w:numId w:val="5"/>
        </w:numPr>
        <w:ind w:left="0" w:hanging="2"/>
        <w:jc w:val="both"/>
        <w:rPr>
          <w:rFonts w:ascii="Arial" w:eastAsia="Arial" w:hAnsi="Arial" w:cs="Arial"/>
          <w:sz w:val="22"/>
          <w:lang w:val="fr-CA"/>
        </w:rPr>
      </w:pPr>
      <w:r w:rsidRPr="00556B4F">
        <w:rPr>
          <w:rFonts w:ascii="Arial" w:eastAsia="Arial" w:hAnsi="Arial" w:cs="Arial"/>
          <w:sz w:val="22"/>
          <w:lang w:val="fr-CA"/>
        </w:rPr>
        <w:t xml:space="preserve">L'Association appuie les recommandations formulées dans </w:t>
      </w:r>
      <w:r w:rsidRPr="00556B4F">
        <w:rPr>
          <w:rFonts w:ascii="Arial" w:eastAsia="Arial" w:hAnsi="Arial" w:cs="Arial"/>
          <w:i/>
          <w:sz w:val="22"/>
          <w:lang w:val="fr-CA"/>
        </w:rPr>
        <w:t>Créer des environnements inclusifs pour les participants trans dans le sport canadien</w:t>
      </w:r>
      <w:r w:rsidRPr="00556B4F">
        <w:rPr>
          <w:rFonts w:ascii="Arial" w:eastAsia="Arial" w:hAnsi="Arial" w:cs="Arial"/>
          <w:sz w:val="22"/>
          <w:lang w:val="fr-CA"/>
        </w:rPr>
        <w:t>, le document d'orientation élaboré par le Groupe de travail d'experts sur l'inclusion des personnes trans dans le sport et publié par le Centre canadien pour l'éthique dans le sport (CCES). L'Association adopte les pratiques exemplaires décrites dans le document et a utilisé les quatre énoncés de l'orientation dans l'élaboration d</w:t>
      </w:r>
      <w:r w:rsidR="008B4D49">
        <w:rPr>
          <w:rFonts w:ascii="Arial" w:eastAsia="Arial" w:hAnsi="Arial" w:cs="Arial"/>
          <w:sz w:val="22"/>
          <w:lang w:val="fr-CA"/>
        </w:rPr>
        <w:t xml:space="preserve">e la </w:t>
      </w:r>
      <w:r w:rsidRPr="00556B4F">
        <w:rPr>
          <w:rFonts w:ascii="Arial" w:eastAsia="Arial" w:hAnsi="Arial" w:cs="Arial"/>
          <w:i/>
          <w:sz w:val="22"/>
          <w:lang w:val="fr-CA"/>
        </w:rPr>
        <w:t>politique d'inclusion</w:t>
      </w:r>
      <w:r w:rsidR="008B4D49">
        <w:rPr>
          <w:rFonts w:ascii="Arial" w:eastAsia="Arial" w:hAnsi="Arial" w:cs="Arial"/>
          <w:i/>
          <w:sz w:val="22"/>
          <w:lang w:val="fr-CA"/>
        </w:rPr>
        <w:t xml:space="preserve"> </w:t>
      </w:r>
      <w:r w:rsidR="008B4D49">
        <w:rPr>
          <w:rFonts w:ascii="Arial" w:eastAsia="Arial" w:hAnsi="Arial" w:cs="Arial"/>
          <w:iCs/>
          <w:sz w:val="22"/>
          <w:lang w:val="fr-CA"/>
        </w:rPr>
        <w:t>ci-dessous</w:t>
      </w:r>
      <w:r w:rsidRPr="00556B4F">
        <w:rPr>
          <w:rFonts w:ascii="Arial" w:eastAsia="Arial" w:hAnsi="Arial" w:cs="Arial"/>
          <w:sz w:val="22"/>
          <w:lang w:val="fr-CA"/>
        </w:rPr>
        <w:t xml:space="preserve">. Les énoncés de </w:t>
      </w:r>
      <w:r w:rsidR="00556B4F" w:rsidRPr="008B4D49">
        <w:rPr>
          <w:rFonts w:ascii="Arial" w:eastAsia="Arial" w:hAnsi="Arial" w:cs="Arial"/>
          <w:sz w:val="22"/>
          <w:lang w:val="fr-CA"/>
        </w:rPr>
        <w:t xml:space="preserve">cette </w:t>
      </w:r>
      <w:r w:rsidRPr="008B4D49">
        <w:rPr>
          <w:rFonts w:ascii="Arial" w:eastAsia="Arial" w:hAnsi="Arial" w:cs="Arial"/>
          <w:sz w:val="22"/>
          <w:lang w:val="fr-CA"/>
        </w:rPr>
        <w:t xml:space="preserve">politique </w:t>
      </w:r>
      <w:r w:rsidRPr="00556B4F">
        <w:rPr>
          <w:rFonts w:ascii="Arial" w:eastAsia="Arial" w:hAnsi="Arial" w:cs="Arial"/>
          <w:sz w:val="22"/>
          <w:lang w:val="fr-CA"/>
        </w:rPr>
        <w:t xml:space="preserve">sont les suivants : </w:t>
      </w:r>
    </w:p>
    <w:p w14:paraId="5F87A24B" w14:textId="77777777" w:rsidR="00DF6E06" w:rsidRPr="00556B4F" w:rsidRDefault="00DF6E06">
      <w:pPr>
        <w:ind w:left="0" w:hanging="2"/>
        <w:jc w:val="both"/>
        <w:rPr>
          <w:rFonts w:ascii="Arial" w:eastAsia="Arial" w:hAnsi="Arial" w:cs="Arial"/>
          <w:sz w:val="22"/>
          <w:lang w:val="fr-CA"/>
        </w:rPr>
      </w:pPr>
    </w:p>
    <w:p w14:paraId="716A09A9" w14:textId="34AD0F96" w:rsidR="00DF6E06" w:rsidRDefault="00962DE2">
      <w:pPr>
        <w:numPr>
          <w:ilvl w:val="0"/>
          <w:numId w:val="3"/>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 xml:space="preserve">Les personnes qui participent au développement et au sport récréatif (étapes du DLTA Démarrage actif, </w:t>
      </w:r>
      <w:proofErr w:type="spellStart"/>
      <w:r w:rsidRPr="00556B4F">
        <w:rPr>
          <w:rFonts w:ascii="Arial" w:eastAsia="Arial" w:hAnsi="Arial" w:cs="Arial"/>
          <w:color w:val="000000"/>
          <w:sz w:val="22"/>
          <w:lang w:val="fr-CA"/>
        </w:rPr>
        <w:t>FUNdamental</w:t>
      </w:r>
      <w:proofErr w:type="spellEnd"/>
      <w:r w:rsidRPr="00556B4F">
        <w:rPr>
          <w:rFonts w:ascii="Arial" w:eastAsia="Arial" w:hAnsi="Arial" w:cs="Arial"/>
          <w:color w:val="000000"/>
          <w:sz w:val="22"/>
          <w:lang w:val="fr-CA"/>
        </w:rPr>
        <w:t xml:space="preserve">, </w:t>
      </w:r>
      <w:r w:rsidR="00556B4F" w:rsidRPr="00556B4F">
        <w:rPr>
          <w:rFonts w:ascii="Arial" w:eastAsia="Arial" w:hAnsi="Arial" w:cs="Arial"/>
          <w:color w:val="000000"/>
          <w:sz w:val="22"/>
          <w:lang w:val="fr-CA"/>
        </w:rPr>
        <w:t xml:space="preserve">Apprendre à s'entraîner, S'entraîner à s'entraîner, S'entraîner </w:t>
      </w:r>
      <w:r w:rsidR="00556B4F" w:rsidRPr="008B4D49">
        <w:rPr>
          <w:rFonts w:ascii="Arial" w:eastAsia="Arial" w:hAnsi="Arial" w:cs="Arial"/>
          <w:sz w:val="22"/>
          <w:lang w:val="fr-CA"/>
        </w:rPr>
        <w:t>pour la compétition</w:t>
      </w:r>
      <w:r w:rsidR="00556B4F">
        <w:rPr>
          <w:rFonts w:ascii="Arial" w:eastAsia="Arial" w:hAnsi="Arial" w:cs="Arial"/>
          <w:color w:val="000000"/>
          <w:sz w:val="22"/>
          <w:lang w:val="fr-CA"/>
        </w:rPr>
        <w:t xml:space="preserve"> </w:t>
      </w:r>
      <w:r w:rsidRPr="00556B4F">
        <w:rPr>
          <w:rFonts w:ascii="Arial" w:eastAsia="Arial" w:hAnsi="Arial" w:cs="Arial"/>
          <w:color w:val="000000"/>
          <w:sz w:val="22"/>
          <w:lang w:val="fr-CA"/>
        </w:rPr>
        <w:t xml:space="preserve">(jusqu'à ce que les règles de la fédération internationale s'appliquent) et Actif pour la vie) devraient </w:t>
      </w:r>
      <w:r w:rsidR="00556B4F" w:rsidRPr="008B4D49">
        <w:rPr>
          <w:rFonts w:ascii="Arial" w:eastAsia="Arial" w:hAnsi="Arial" w:cs="Arial"/>
          <w:sz w:val="22"/>
          <w:lang w:val="fr-CA"/>
        </w:rPr>
        <w:t>pouvoir</w:t>
      </w:r>
      <w:r w:rsidRPr="008B4D49">
        <w:rPr>
          <w:rFonts w:ascii="Arial" w:eastAsia="Arial" w:hAnsi="Arial" w:cs="Arial"/>
          <w:sz w:val="22"/>
          <w:lang w:val="fr-CA"/>
        </w:rPr>
        <w:t xml:space="preserve"> </w:t>
      </w:r>
      <w:r w:rsidRPr="00556B4F">
        <w:rPr>
          <w:rFonts w:ascii="Arial" w:eastAsia="Arial" w:hAnsi="Arial" w:cs="Arial"/>
          <w:color w:val="000000"/>
          <w:sz w:val="22"/>
          <w:lang w:val="fr-CA"/>
        </w:rPr>
        <w:t xml:space="preserve">participer au sexe auquel elles s'identifient et ne pas être </w:t>
      </w:r>
      <w:r w:rsidR="00556B4F" w:rsidRPr="008B4D49">
        <w:rPr>
          <w:rFonts w:ascii="Arial" w:eastAsia="Arial" w:hAnsi="Arial" w:cs="Arial"/>
          <w:sz w:val="22"/>
          <w:lang w:val="fr-CA"/>
        </w:rPr>
        <w:t>soumis</w:t>
      </w:r>
      <w:r w:rsidRPr="008B4D49">
        <w:rPr>
          <w:rFonts w:ascii="Arial" w:eastAsia="Arial" w:hAnsi="Arial" w:cs="Arial"/>
          <w:sz w:val="22"/>
          <w:lang w:val="fr-CA"/>
        </w:rPr>
        <w:t xml:space="preserve"> </w:t>
      </w:r>
      <w:r w:rsidR="00556B4F" w:rsidRPr="008B4D49">
        <w:rPr>
          <w:rFonts w:ascii="Arial" w:eastAsia="Arial" w:hAnsi="Arial" w:cs="Arial"/>
          <w:sz w:val="22"/>
          <w:lang w:val="fr-CA"/>
        </w:rPr>
        <w:t>aux</w:t>
      </w:r>
      <w:r w:rsidRPr="008B4D49">
        <w:rPr>
          <w:rFonts w:ascii="Arial" w:eastAsia="Arial" w:hAnsi="Arial" w:cs="Arial"/>
          <w:sz w:val="22"/>
          <w:lang w:val="fr-CA"/>
        </w:rPr>
        <w:t xml:space="preserve"> </w:t>
      </w:r>
      <w:r w:rsidRPr="00556B4F">
        <w:rPr>
          <w:rFonts w:ascii="Arial" w:eastAsia="Arial" w:hAnsi="Arial" w:cs="Arial"/>
          <w:color w:val="000000"/>
          <w:sz w:val="22"/>
          <w:lang w:val="fr-CA"/>
        </w:rPr>
        <w:t>exigences de divulgation d</w:t>
      </w:r>
      <w:r w:rsidR="00556B4F">
        <w:rPr>
          <w:rFonts w:ascii="Arial" w:eastAsia="Arial" w:hAnsi="Arial" w:cs="Arial"/>
          <w:color w:val="000000"/>
          <w:sz w:val="22"/>
          <w:lang w:val="fr-CA"/>
        </w:rPr>
        <w:t xml:space="preserve">’information </w:t>
      </w:r>
      <w:r w:rsidRPr="00556B4F">
        <w:rPr>
          <w:rFonts w:ascii="Arial" w:eastAsia="Arial" w:hAnsi="Arial" w:cs="Arial"/>
          <w:color w:val="000000"/>
          <w:sz w:val="22"/>
          <w:lang w:val="fr-CA"/>
        </w:rPr>
        <w:t>personnels au-delà de celles exigées des athlètes cisgenres. Il ne devrait pas non plus y avoir d'exigence pour l'hormonothérapie ou la chirurgie</w:t>
      </w:r>
    </w:p>
    <w:p w14:paraId="0DFDC40B" w14:textId="77777777" w:rsidR="008B4D49" w:rsidRPr="00556B4F" w:rsidRDefault="008B4D49" w:rsidP="008B4D49">
      <w:pPr>
        <w:ind w:leftChars="0" w:left="0" w:firstLineChars="0" w:firstLine="0"/>
        <w:jc w:val="both"/>
        <w:rPr>
          <w:rFonts w:ascii="Arial" w:eastAsia="Arial" w:hAnsi="Arial" w:cs="Arial"/>
          <w:color w:val="000000"/>
          <w:sz w:val="22"/>
          <w:lang w:val="fr-CA"/>
        </w:rPr>
      </w:pPr>
    </w:p>
    <w:p w14:paraId="0C018040" w14:textId="24564A88" w:rsidR="00DF6E06" w:rsidRDefault="00962DE2">
      <w:pPr>
        <w:numPr>
          <w:ilvl w:val="0"/>
          <w:numId w:val="3"/>
        </w:numPr>
        <w:ind w:left="0" w:hanging="2"/>
        <w:rPr>
          <w:rFonts w:ascii="Arial" w:eastAsia="Arial" w:hAnsi="Arial" w:cs="Arial"/>
          <w:color w:val="000000"/>
          <w:sz w:val="22"/>
          <w:lang w:val="fr-CA"/>
        </w:rPr>
      </w:pPr>
      <w:r w:rsidRPr="00556B4F">
        <w:rPr>
          <w:rFonts w:ascii="Arial" w:eastAsia="Arial" w:hAnsi="Arial" w:cs="Arial"/>
          <w:color w:val="000000"/>
          <w:sz w:val="22"/>
          <w:lang w:val="fr-CA"/>
        </w:rPr>
        <w:t xml:space="preserve">L'hormonothérapie ne devrait pas être requise pour qu'une personne puisse participer à un sport de haut niveau (étapes de la DLTA S'entraîner </w:t>
      </w:r>
      <w:r w:rsidR="00556B4F" w:rsidRPr="008B4D49">
        <w:rPr>
          <w:rFonts w:ascii="Arial" w:eastAsia="Arial" w:hAnsi="Arial" w:cs="Arial"/>
          <w:sz w:val="22"/>
          <w:lang w:val="fr-CA"/>
        </w:rPr>
        <w:t xml:space="preserve">pour la compétition </w:t>
      </w:r>
      <w:r w:rsidRPr="00556B4F">
        <w:rPr>
          <w:rFonts w:ascii="Arial" w:eastAsia="Arial" w:hAnsi="Arial" w:cs="Arial"/>
          <w:color w:val="000000"/>
          <w:sz w:val="22"/>
          <w:lang w:val="fr-CA"/>
        </w:rPr>
        <w:t>(une fois que les règles de la fédération internationale deviennent un facteur) et s'entraîner pour gagner) dans la catégorie de genre qui est compatible avec son identité de genre, à moins que l'organisation sportive puisse prouver que l'hormonothérapie est une exigence raisonnable et de bonne foi</w:t>
      </w:r>
    </w:p>
    <w:p w14:paraId="41F7592E" w14:textId="77777777" w:rsidR="008B4D49" w:rsidRPr="00556B4F" w:rsidRDefault="008B4D49" w:rsidP="008B4D49">
      <w:pPr>
        <w:ind w:leftChars="0" w:left="0" w:firstLineChars="0" w:firstLine="0"/>
        <w:rPr>
          <w:rFonts w:ascii="Arial" w:eastAsia="Arial" w:hAnsi="Arial" w:cs="Arial"/>
          <w:color w:val="000000"/>
          <w:sz w:val="22"/>
          <w:lang w:val="fr-CA"/>
        </w:rPr>
      </w:pPr>
    </w:p>
    <w:p w14:paraId="30A1C170" w14:textId="2DE68575" w:rsidR="00DF6E06" w:rsidRDefault="00962DE2">
      <w:pPr>
        <w:numPr>
          <w:ilvl w:val="0"/>
          <w:numId w:val="3"/>
        </w:numPr>
        <w:ind w:left="0" w:hanging="2"/>
        <w:rPr>
          <w:rFonts w:ascii="Arial" w:eastAsia="Arial" w:hAnsi="Arial" w:cs="Arial"/>
          <w:color w:val="000000"/>
          <w:sz w:val="22"/>
          <w:lang w:val="fr-CA"/>
        </w:rPr>
      </w:pPr>
      <w:r w:rsidRPr="008B4D49">
        <w:rPr>
          <w:rFonts w:ascii="Arial" w:eastAsia="Arial" w:hAnsi="Arial" w:cs="Arial"/>
          <w:sz w:val="22"/>
          <w:lang w:val="fr-CA"/>
        </w:rPr>
        <w:t>Les personnes ne devraient pas être tenues de divulguer leur identité trans ou leurs antécédents à l'organisme de sport</w:t>
      </w:r>
      <w:r w:rsidR="00556B4F" w:rsidRPr="008B4D49">
        <w:rPr>
          <w:rFonts w:ascii="Arial" w:eastAsia="Arial" w:hAnsi="Arial" w:cs="Arial"/>
          <w:sz w:val="22"/>
          <w:lang w:val="fr-CA"/>
        </w:rPr>
        <w:t xml:space="preserve"> afin de</w:t>
      </w:r>
      <w:r w:rsidRPr="008B4D49">
        <w:rPr>
          <w:rFonts w:ascii="Arial" w:eastAsia="Arial" w:hAnsi="Arial" w:cs="Arial"/>
          <w:sz w:val="22"/>
          <w:lang w:val="fr-CA"/>
        </w:rPr>
        <w:t xml:space="preserve"> participer à un sport de haut niveau (étapes du DLTA S'entraîner </w:t>
      </w:r>
      <w:r w:rsidR="00556B4F" w:rsidRPr="008B4D49">
        <w:rPr>
          <w:rFonts w:ascii="Arial" w:eastAsia="Arial" w:hAnsi="Arial" w:cs="Arial"/>
          <w:sz w:val="22"/>
          <w:lang w:val="fr-CA"/>
        </w:rPr>
        <w:t xml:space="preserve">pour la compétition </w:t>
      </w:r>
      <w:r w:rsidRPr="00556B4F">
        <w:rPr>
          <w:rFonts w:ascii="Arial" w:eastAsia="Arial" w:hAnsi="Arial" w:cs="Arial"/>
          <w:color w:val="000000"/>
          <w:sz w:val="22"/>
          <w:lang w:val="fr-CA"/>
        </w:rPr>
        <w:t>(une fois que les règles de la fédération internationale deviennent un facteur) et S'entraîner pour gagner), à moins qu'il n'y ait une raison justifiée de les obliger à le faire.</w:t>
      </w:r>
    </w:p>
    <w:p w14:paraId="2695E730" w14:textId="77777777" w:rsidR="008B4D49" w:rsidRPr="00556B4F" w:rsidRDefault="008B4D49" w:rsidP="008B4D49">
      <w:pPr>
        <w:ind w:leftChars="0" w:left="0" w:firstLineChars="0" w:firstLine="0"/>
        <w:rPr>
          <w:rFonts w:ascii="Arial" w:eastAsia="Arial" w:hAnsi="Arial" w:cs="Arial"/>
          <w:color w:val="000000"/>
          <w:sz w:val="22"/>
          <w:lang w:val="fr-CA"/>
        </w:rPr>
      </w:pPr>
    </w:p>
    <w:p w14:paraId="4886A347" w14:textId="13F5721B" w:rsidR="00DF6E06" w:rsidRPr="00556B4F" w:rsidRDefault="00962DE2">
      <w:pPr>
        <w:numPr>
          <w:ilvl w:val="0"/>
          <w:numId w:val="3"/>
        </w:numPr>
        <w:ind w:left="0" w:hanging="2"/>
        <w:rPr>
          <w:rFonts w:ascii="Arial" w:eastAsia="Arial" w:hAnsi="Arial" w:cs="Arial"/>
          <w:sz w:val="22"/>
          <w:lang w:val="fr-CA"/>
        </w:rPr>
      </w:pPr>
      <w:r w:rsidRPr="00556B4F">
        <w:rPr>
          <w:rFonts w:ascii="Arial" w:eastAsia="Arial" w:hAnsi="Arial" w:cs="Arial"/>
          <w:color w:val="000000"/>
          <w:sz w:val="22"/>
          <w:lang w:val="fr-CA"/>
        </w:rPr>
        <w:t>Une intervention chirurgicale ne devrait pas être nécessaire pour qu'une personne puisse participer à un sport de haut niveau (étapes de LTAD S'entraîner pour</w:t>
      </w:r>
      <w:r w:rsidR="00556B4F" w:rsidRPr="00556B4F">
        <w:rPr>
          <w:rFonts w:ascii="Arial" w:eastAsia="Arial" w:hAnsi="Arial" w:cs="Arial"/>
          <w:color w:val="FF0000"/>
          <w:sz w:val="22"/>
          <w:lang w:val="fr-CA"/>
        </w:rPr>
        <w:t xml:space="preserve"> </w:t>
      </w:r>
      <w:r w:rsidR="00556B4F" w:rsidRPr="008B4D49">
        <w:rPr>
          <w:rFonts w:ascii="Arial" w:eastAsia="Arial" w:hAnsi="Arial" w:cs="Arial"/>
          <w:sz w:val="22"/>
          <w:lang w:val="fr-CA"/>
        </w:rPr>
        <w:t>la compétition</w:t>
      </w:r>
      <w:r w:rsidRPr="008B4D49">
        <w:rPr>
          <w:rFonts w:ascii="Arial" w:eastAsia="Arial" w:hAnsi="Arial" w:cs="Arial"/>
          <w:sz w:val="22"/>
          <w:lang w:val="fr-CA"/>
        </w:rPr>
        <w:t xml:space="preserve"> </w:t>
      </w:r>
      <w:r w:rsidRPr="00556B4F">
        <w:rPr>
          <w:rFonts w:ascii="Arial" w:eastAsia="Arial" w:hAnsi="Arial" w:cs="Arial"/>
          <w:color w:val="000000"/>
          <w:sz w:val="22"/>
          <w:lang w:val="fr-CA"/>
        </w:rPr>
        <w:t>(une fois que les règles de la fédération internationale deviennent un facteur) et s'entraîner pour gagner) dans la catégorie de genre qui est compatible avec son identité de genre</w:t>
      </w:r>
    </w:p>
    <w:p w14:paraId="7032C078" w14:textId="77777777" w:rsidR="00DF6E06" w:rsidRPr="00556B4F" w:rsidRDefault="00DF6E06">
      <w:pPr>
        <w:ind w:left="0" w:hanging="2"/>
        <w:jc w:val="both"/>
        <w:rPr>
          <w:rFonts w:ascii="Arial" w:eastAsia="Arial" w:hAnsi="Arial" w:cs="Arial"/>
          <w:sz w:val="22"/>
          <w:lang w:val="fr-CA"/>
        </w:rPr>
      </w:pPr>
    </w:p>
    <w:p w14:paraId="660EA817" w14:textId="77777777" w:rsidR="00DF6E06" w:rsidRPr="00556B4F" w:rsidRDefault="00962DE2">
      <w:pPr>
        <w:ind w:left="0" w:hanging="2"/>
        <w:jc w:val="both"/>
        <w:rPr>
          <w:rFonts w:ascii="Arial" w:eastAsia="Arial" w:hAnsi="Arial" w:cs="Arial"/>
          <w:sz w:val="22"/>
          <w:lang w:val="fr-CA"/>
        </w:rPr>
      </w:pPr>
      <w:r w:rsidRPr="00556B4F">
        <w:rPr>
          <w:rFonts w:ascii="Arial" w:eastAsia="Arial" w:hAnsi="Arial" w:cs="Arial"/>
          <w:b/>
          <w:sz w:val="22"/>
          <w:lang w:val="fr-CA"/>
        </w:rPr>
        <w:t>Définitions</w:t>
      </w:r>
    </w:p>
    <w:p w14:paraId="5B5354CB" w14:textId="4DED17B7" w:rsidR="00DF6E06" w:rsidRPr="00556B4F" w:rsidRDefault="00962DE2">
      <w:pPr>
        <w:numPr>
          <w:ilvl w:val="0"/>
          <w:numId w:val="5"/>
        </w:numPr>
        <w:ind w:left="0" w:hanging="2"/>
        <w:jc w:val="both"/>
        <w:rPr>
          <w:rFonts w:ascii="Arial" w:eastAsia="Arial" w:hAnsi="Arial" w:cs="Arial"/>
          <w:sz w:val="22"/>
          <w:lang w:val="fr-CA"/>
        </w:rPr>
      </w:pPr>
      <w:r w:rsidRPr="00556B4F">
        <w:rPr>
          <w:rFonts w:ascii="Arial" w:eastAsia="Arial" w:hAnsi="Arial" w:cs="Arial"/>
          <w:sz w:val="22"/>
          <w:lang w:val="fr-CA"/>
        </w:rPr>
        <w:t>Les termes suivants ont ces significations dans ce document:</w:t>
      </w:r>
    </w:p>
    <w:p w14:paraId="26E8D2CE" w14:textId="77777777" w:rsidR="00DF6E06" w:rsidRPr="00556B4F" w:rsidRDefault="00962DE2">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 xml:space="preserve">« </w:t>
      </w:r>
      <w:r w:rsidRPr="00556B4F">
        <w:rPr>
          <w:rFonts w:ascii="Arial" w:eastAsia="Arial" w:hAnsi="Arial" w:cs="Arial"/>
          <w:i/>
          <w:color w:val="000000"/>
          <w:sz w:val="22"/>
          <w:lang w:val="fr-CA"/>
        </w:rPr>
        <w:t>Association »</w:t>
      </w:r>
      <w:r w:rsidRPr="00556B4F">
        <w:rPr>
          <w:rFonts w:ascii="Arial" w:eastAsia="Arial" w:hAnsi="Arial" w:cs="Arial"/>
          <w:color w:val="000000"/>
          <w:sz w:val="22"/>
          <w:lang w:val="fr-CA"/>
        </w:rPr>
        <w:t xml:space="preserve"> – Softball Canada</w:t>
      </w:r>
    </w:p>
    <w:p w14:paraId="4CEBE142" w14:textId="77777777" w:rsidR="00DF6E06" w:rsidRPr="00556B4F" w:rsidRDefault="00962DE2">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lang w:val="fr-CA"/>
        </w:rPr>
      </w:pPr>
      <w:r w:rsidRPr="00556B4F">
        <w:rPr>
          <w:rFonts w:ascii="Arial" w:eastAsia="Arial" w:hAnsi="Arial" w:cs="Arial"/>
          <w:i/>
          <w:color w:val="000000"/>
          <w:sz w:val="22"/>
          <w:lang w:val="fr-CA"/>
        </w:rPr>
        <w:t>« Cisgenre »</w:t>
      </w:r>
      <w:r w:rsidRPr="00556B4F">
        <w:rPr>
          <w:rFonts w:ascii="Arial" w:eastAsia="Arial" w:hAnsi="Arial" w:cs="Arial"/>
          <w:color w:val="000000"/>
          <w:sz w:val="22"/>
          <w:lang w:val="fr-CA"/>
        </w:rPr>
        <w:t xml:space="preserve"> – </w:t>
      </w:r>
      <w:r w:rsidRPr="00556B4F">
        <w:rPr>
          <w:rFonts w:ascii="Arial" w:eastAsia="Arial" w:hAnsi="Arial" w:cs="Arial"/>
          <w:i/>
          <w:color w:val="000000"/>
          <w:sz w:val="22"/>
          <w:lang w:val="fr-CA"/>
        </w:rPr>
        <w:t>Terme pour décrire une personne dont l'identité de genre correspond au sexe qui lui a été assigné à la naissance (p. ex., une personne dont l'identité de genre est un homme et qui s'est vu attribuer un homme à la naissance).</w:t>
      </w:r>
    </w:p>
    <w:p w14:paraId="102D7234" w14:textId="77777777" w:rsidR="00DF6E06" w:rsidRPr="00556B4F" w:rsidRDefault="00962DE2">
      <w:pPr>
        <w:numPr>
          <w:ilvl w:val="0"/>
          <w:numId w:val="1"/>
        </w:numPr>
        <w:ind w:left="0" w:hanging="2"/>
        <w:jc w:val="both"/>
        <w:rPr>
          <w:rFonts w:ascii="Arial" w:eastAsia="Arial" w:hAnsi="Arial" w:cs="Arial"/>
          <w:sz w:val="22"/>
          <w:lang w:val="fr-CA"/>
        </w:rPr>
      </w:pPr>
      <w:r w:rsidRPr="00556B4F">
        <w:rPr>
          <w:rFonts w:ascii="Arial" w:eastAsia="Arial" w:hAnsi="Arial" w:cs="Arial"/>
          <w:sz w:val="22"/>
          <w:lang w:val="fr-CA"/>
        </w:rPr>
        <w:t>«</w:t>
      </w:r>
      <w:r w:rsidRPr="00556B4F">
        <w:rPr>
          <w:rFonts w:ascii="Arial" w:eastAsia="Arial" w:hAnsi="Arial" w:cs="Arial"/>
          <w:i/>
          <w:sz w:val="22"/>
          <w:lang w:val="fr-CA"/>
        </w:rPr>
        <w:t xml:space="preserve"> Genre </w:t>
      </w:r>
      <w:r w:rsidRPr="00556B4F">
        <w:rPr>
          <w:rFonts w:ascii="Arial" w:eastAsia="Arial" w:hAnsi="Arial" w:cs="Arial"/>
          <w:sz w:val="22"/>
          <w:lang w:val="fr-CA"/>
        </w:rPr>
        <w:t>» – Les rôles, les comportements, les activités et les attributs socialement construits qu'une société attribue à la masculinité ou à la féminité</w:t>
      </w:r>
    </w:p>
    <w:p w14:paraId="3A82E479" w14:textId="07F83348" w:rsidR="00DF6E06" w:rsidRPr="008B4D49" w:rsidRDefault="00962DE2">
      <w:pPr>
        <w:numPr>
          <w:ilvl w:val="0"/>
          <w:numId w:val="1"/>
        </w:numPr>
        <w:pBdr>
          <w:top w:val="nil"/>
          <w:left w:val="nil"/>
          <w:bottom w:val="nil"/>
          <w:right w:val="nil"/>
          <w:between w:val="nil"/>
        </w:pBdr>
        <w:spacing w:line="256" w:lineRule="auto"/>
        <w:ind w:left="0" w:hanging="2"/>
        <w:rPr>
          <w:rFonts w:ascii="Arial" w:eastAsia="Arial" w:hAnsi="Arial" w:cs="Arial"/>
          <w:sz w:val="22"/>
          <w:lang w:val="fr-CA"/>
        </w:rPr>
      </w:pPr>
      <w:r w:rsidRPr="00556B4F">
        <w:rPr>
          <w:rFonts w:ascii="Arial" w:eastAsia="Arial" w:hAnsi="Arial" w:cs="Arial"/>
          <w:color w:val="000000"/>
          <w:sz w:val="22"/>
          <w:lang w:val="fr-CA"/>
        </w:rPr>
        <w:t xml:space="preserve">« </w:t>
      </w:r>
      <w:r w:rsidRPr="00556B4F">
        <w:rPr>
          <w:rFonts w:ascii="Arial" w:eastAsia="Arial" w:hAnsi="Arial" w:cs="Arial"/>
          <w:i/>
          <w:color w:val="000000"/>
          <w:sz w:val="22"/>
          <w:lang w:val="fr-CA"/>
        </w:rPr>
        <w:t xml:space="preserve">Expression de genre </w:t>
      </w:r>
      <w:r w:rsidRPr="00556B4F">
        <w:rPr>
          <w:rFonts w:ascii="Arial" w:eastAsia="Arial" w:hAnsi="Arial" w:cs="Arial"/>
          <w:color w:val="000000"/>
          <w:sz w:val="22"/>
          <w:lang w:val="fr-CA"/>
        </w:rPr>
        <w:t xml:space="preserve">» – La façon dont une personne communique son identité de genre aux autres. Cela se fait par le comportement, le langage corporel, la voix, l'emphase </w:t>
      </w:r>
      <w:r w:rsidRPr="008B4D49">
        <w:rPr>
          <w:rFonts w:ascii="Arial" w:eastAsia="Arial" w:hAnsi="Arial" w:cs="Arial"/>
          <w:sz w:val="22"/>
          <w:lang w:val="fr-CA"/>
        </w:rPr>
        <w:t xml:space="preserve">ou la </w:t>
      </w:r>
      <w:r w:rsidR="00556B4F" w:rsidRPr="008B4D49">
        <w:rPr>
          <w:rFonts w:ascii="Arial" w:eastAsia="Arial" w:hAnsi="Arial" w:cs="Arial"/>
          <w:sz w:val="22"/>
          <w:lang w:val="fr-CA"/>
        </w:rPr>
        <w:t xml:space="preserve">désaccentuation </w:t>
      </w:r>
      <w:r w:rsidRPr="008B4D49">
        <w:rPr>
          <w:rFonts w:ascii="Arial" w:eastAsia="Arial" w:hAnsi="Arial" w:cs="Arial"/>
          <w:sz w:val="22"/>
          <w:lang w:val="fr-CA"/>
        </w:rPr>
        <w:t xml:space="preserve">des caractéristiques corporelles, le choix des vêtements, la coiffure et </w:t>
      </w:r>
      <w:r w:rsidR="00556B4F" w:rsidRPr="008B4D49">
        <w:rPr>
          <w:rFonts w:ascii="Arial" w:eastAsia="Arial" w:hAnsi="Arial" w:cs="Arial"/>
          <w:sz w:val="22"/>
          <w:lang w:val="fr-CA"/>
        </w:rPr>
        <w:t xml:space="preserve">le port du maquillage et/ou des </w:t>
      </w:r>
      <w:r w:rsidR="00556B4F" w:rsidRPr="008B4D49">
        <w:rPr>
          <w:rFonts w:ascii="Arial" w:eastAsia="Arial" w:hAnsi="Arial" w:cs="Arial"/>
          <w:sz w:val="22"/>
          <w:lang w:val="fr-CA"/>
        </w:rPr>
        <w:lastRenderedPageBreak/>
        <w:t xml:space="preserve">accessoires. </w:t>
      </w:r>
      <w:r w:rsidRPr="008B4D49">
        <w:rPr>
          <w:rFonts w:ascii="Arial" w:eastAsia="Arial" w:hAnsi="Arial" w:cs="Arial"/>
          <w:sz w:val="22"/>
          <w:lang w:val="fr-CA"/>
        </w:rPr>
        <w:t>Les traits et les comportements associés à la masculinité et à la féminité sont spécifiques à la culture et changent au fil du temps</w:t>
      </w:r>
    </w:p>
    <w:p w14:paraId="4A83B68B" w14:textId="77777777" w:rsidR="00DF6E06" w:rsidRPr="00556B4F" w:rsidRDefault="00962DE2">
      <w:pPr>
        <w:numPr>
          <w:ilvl w:val="0"/>
          <w:numId w:val="1"/>
        </w:numPr>
        <w:pBdr>
          <w:top w:val="nil"/>
          <w:left w:val="nil"/>
          <w:bottom w:val="nil"/>
          <w:right w:val="nil"/>
          <w:between w:val="nil"/>
        </w:pBdr>
        <w:spacing w:line="256" w:lineRule="auto"/>
        <w:ind w:left="0" w:hanging="2"/>
        <w:rPr>
          <w:rFonts w:ascii="Arial" w:eastAsia="Arial" w:hAnsi="Arial" w:cs="Arial"/>
          <w:color w:val="000000"/>
          <w:sz w:val="22"/>
          <w:lang w:val="fr-CA"/>
        </w:rPr>
      </w:pPr>
      <w:r w:rsidRPr="00556B4F">
        <w:rPr>
          <w:rFonts w:ascii="Arial" w:eastAsia="Arial" w:hAnsi="Arial" w:cs="Arial"/>
          <w:color w:val="000000"/>
          <w:sz w:val="22"/>
          <w:lang w:val="fr-CA"/>
        </w:rPr>
        <w:t>« </w:t>
      </w:r>
      <w:r w:rsidRPr="00556B4F">
        <w:rPr>
          <w:rFonts w:ascii="Arial" w:eastAsia="Arial" w:hAnsi="Arial" w:cs="Arial"/>
          <w:i/>
          <w:color w:val="000000"/>
          <w:sz w:val="22"/>
          <w:lang w:val="fr-CA"/>
        </w:rPr>
        <w:t>Identité de genre</w:t>
      </w:r>
      <w:r w:rsidRPr="00556B4F">
        <w:rPr>
          <w:rFonts w:ascii="Arial" w:eastAsia="Arial" w:hAnsi="Arial" w:cs="Arial"/>
          <w:color w:val="000000"/>
          <w:sz w:val="22"/>
          <w:lang w:val="fr-CA"/>
        </w:rPr>
        <w:t> » - Le sens le plus profond d'une personne de son propre genre. Cela peut inclure l'homme, la femme, les deux ni l'un ni l'autre ou quelque chose d'autre entièrement. Le genre fait également référence à une variété de caractéristiques sociales et comportementales (par exemple, apparence, maniérismes). Il y a beaucoup de mots que les gens peuvent utiliser pour parler de leur identité et de leur expression de genre</w:t>
      </w:r>
    </w:p>
    <w:p w14:paraId="39FEE25D" w14:textId="77777777" w:rsidR="00DF6E06" w:rsidRPr="00556B4F" w:rsidRDefault="00962DE2">
      <w:pPr>
        <w:numPr>
          <w:ilvl w:val="0"/>
          <w:numId w:val="1"/>
        </w:numPr>
        <w:pBdr>
          <w:top w:val="nil"/>
          <w:left w:val="nil"/>
          <w:bottom w:val="nil"/>
          <w:right w:val="nil"/>
          <w:between w:val="nil"/>
        </w:pBdr>
        <w:spacing w:line="256" w:lineRule="auto"/>
        <w:ind w:left="0" w:hanging="2"/>
        <w:rPr>
          <w:rFonts w:ascii="Arial" w:eastAsia="Arial" w:hAnsi="Arial" w:cs="Arial"/>
          <w:color w:val="000000"/>
          <w:sz w:val="22"/>
          <w:lang w:val="fr-CA"/>
        </w:rPr>
      </w:pPr>
      <w:r w:rsidRPr="00556B4F">
        <w:rPr>
          <w:rFonts w:ascii="Arial" w:eastAsia="Arial" w:hAnsi="Arial" w:cs="Arial"/>
          <w:color w:val="000000"/>
          <w:sz w:val="22"/>
          <w:lang w:val="fr-CA"/>
        </w:rPr>
        <w:t>«</w:t>
      </w:r>
      <w:r w:rsidRPr="00556B4F">
        <w:rPr>
          <w:rFonts w:ascii="Arial" w:eastAsia="Arial" w:hAnsi="Arial" w:cs="Arial"/>
          <w:i/>
          <w:color w:val="000000"/>
          <w:sz w:val="22"/>
          <w:lang w:val="fr-CA"/>
        </w:rPr>
        <w:t xml:space="preserve"> Changement de sexe </w:t>
      </w:r>
      <w:r w:rsidRPr="00556B4F">
        <w:rPr>
          <w:rFonts w:ascii="Arial" w:eastAsia="Arial" w:hAnsi="Arial" w:cs="Arial"/>
          <w:color w:val="000000"/>
          <w:sz w:val="22"/>
          <w:lang w:val="fr-CA"/>
        </w:rPr>
        <w:t>» – programme de traitement supervisé par un médecin pour faire la transition du corps d'une personne afin qu'il corresponde à son identité de genre grâce à l'hormonothérapie et/ou à la chirurgie</w:t>
      </w:r>
    </w:p>
    <w:p w14:paraId="023EEAE5" w14:textId="77777777" w:rsidR="00DF6E06" w:rsidRPr="00556B4F" w:rsidRDefault="00962DE2">
      <w:pPr>
        <w:numPr>
          <w:ilvl w:val="0"/>
          <w:numId w:val="1"/>
        </w:numPr>
        <w:pBdr>
          <w:top w:val="nil"/>
          <w:left w:val="nil"/>
          <w:bottom w:val="nil"/>
          <w:right w:val="nil"/>
          <w:between w:val="nil"/>
        </w:pBdr>
        <w:spacing w:line="256" w:lineRule="auto"/>
        <w:ind w:left="0" w:hanging="2"/>
        <w:rPr>
          <w:rFonts w:ascii="Arial" w:eastAsia="Arial" w:hAnsi="Arial" w:cs="Arial"/>
          <w:color w:val="000000"/>
          <w:sz w:val="22"/>
          <w:lang w:val="fr-CA"/>
        </w:rPr>
      </w:pPr>
      <w:r w:rsidRPr="00556B4F">
        <w:rPr>
          <w:rFonts w:ascii="Arial" w:eastAsia="Arial" w:hAnsi="Arial" w:cs="Arial"/>
          <w:color w:val="000000"/>
          <w:sz w:val="22"/>
          <w:lang w:val="fr-CA"/>
        </w:rPr>
        <w:t>« </w:t>
      </w:r>
      <w:r w:rsidRPr="00556B4F">
        <w:rPr>
          <w:rFonts w:ascii="Arial" w:eastAsia="Arial" w:hAnsi="Arial" w:cs="Arial"/>
          <w:i/>
          <w:color w:val="000000"/>
          <w:sz w:val="22"/>
          <w:lang w:val="fr-CA"/>
        </w:rPr>
        <w:t>Intersexe</w:t>
      </w:r>
      <w:r w:rsidRPr="00556B4F">
        <w:rPr>
          <w:rFonts w:ascii="Arial" w:eastAsia="Arial" w:hAnsi="Arial" w:cs="Arial"/>
          <w:color w:val="000000"/>
          <w:sz w:val="22"/>
          <w:lang w:val="fr-CA"/>
        </w:rPr>
        <w:t xml:space="preserve"> » - Fait référence à une combinaison de caractéristiques qui distinguent l'anatomie masculine et féminine </w:t>
      </w:r>
    </w:p>
    <w:p w14:paraId="42C61641" w14:textId="77777777" w:rsidR="00DF6E06" w:rsidRPr="00556B4F" w:rsidRDefault="00962DE2">
      <w:pPr>
        <w:numPr>
          <w:ilvl w:val="0"/>
          <w:numId w:val="1"/>
        </w:numPr>
        <w:pBdr>
          <w:top w:val="nil"/>
          <w:left w:val="nil"/>
          <w:bottom w:val="nil"/>
          <w:right w:val="nil"/>
          <w:between w:val="nil"/>
        </w:pBdr>
        <w:spacing w:line="256" w:lineRule="auto"/>
        <w:ind w:left="0" w:hanging="2"/>
        <w:rPr>
          <w:rFonts w:ascii="Arial" w:eastAsia="Arial" w:hAnsi="Arial" w:cs="Arial"/>
          <w:color w:val="000000"/>
          <w:sz w:val="22"/>
          <w:lang w:val="fr-CA"/>
        </w:rPr>
      </w:pPr>
      <w:r w:rsidRPr="00556B4F">
        <w:rPr>
          <w:rFonts w:ascii="Arial" w:eastAsia="Arial" w:hAnsi="Arial" w:cs="Arial"/>
          <w:color w:val="000000"/>
          <w:sz w:val="22"/>
          <w:lang w:val="fr-CA"/>
        </w:rPr>
        <w:t>« </w:t>
      </w:r>
      <w:r w:rsidRPr="00556B4F">
        <w:rPr>
          <w:rFonts w:ascii="Arial" w:eastAsia="Arial" w:hAnsi="Arial" w:cs="Arial"/>
          <w:i/>
          <w:color w:val="000000"/>
          <w:sz w:val="22"/>
          <w:lang w:val="fr-CA"/>
        </w:rPr>
        <w:t>Sexe</w:t>
      </w:r>
      <w:r w:rsidRPr="00556B4F">
        <w:rPr>
          <w:rFonts w:ascii="Arial" w:eastAsia="Arial" w:hAnsi="Arial" w:cs="Arial"/>
          <w:color w:val="000000"/>
          <w:sz w:val="22"/>
          <w:lang w:val="fr-CA"/>
        </w:rPr>
        <w:t> » - La classification des personnes comme homme, femme ou intersexué. Le sexe est généralement attribué à la naissance et est basé sur une évaluation du système reproducteur, des hormones, des chromosomes et d'autres caractéristiques physiques d'une personne, notamment par les organes génitaux externes</w:t>
      </w:r>
    </w:p>
    <w:p w14:paraId="445084E5" w14:textId="29D9CB19" w:rsidR="00DF6E06" w:rsidRPr="00556B4F" w:rsidRDefault="00962DE2">
      <w:pPr>
        <w:numPr>
          <w:ilvl w:val="0"/>
          <w:numId w:val="1"/>
        </w:numPr>
        <w:pBdr>
          <w:top w:val="nil"/>
          <w:left w:val="nil"/>
          <w:bottom w:val="nil"/>
          <w:right w:val="nil"/>
          <w:between w:val="nil"/>
        </w:pBdr>
        <w:spacing w:line="256" w:lineRule="auto"/>
        <w:ind w:left="0" w:hanging="2"/>
        <w:rPr>
          <w:rFonts w:ascii="Arial" w:eastAsia="Arial" w:hAnsi="Arial" w:cs="Arial"/>
          <w:color w:val="000000"/>
          <w:sz w:val="22"/>
          <w:lang w:val="fr-CA"/>
        </w:rPr>
      </w:pPr>
      <w:r w:rsidRPr="00556B4F">
        <w:rPr>
          <w:rFonts w:ascii="Arial" w:eastAsia="Arial" w:hAnsi="Arial" w:cs="Arial"/>
          <w:color w:val="000000"/>
          <w:sz w:val="22"/>
          <w:lang w:val="fr-CA"/>
        </w:rPr>
        <w:t xml:space="preserve">« </w:t>
      </w:r>
      <w:r w:rsidRPr="00556B4F">
        <w:rPr>
          <w:rFonts w:ascii="Arial" w:eastAsia="Arial" w:hAnsi="Arial" w:cs="Arial"/>
          <w:i/>
          <w:color w:val="000000"/>
          <w:sz w:val="22"/>
          <w:lang w:val="fr-CA"/>
        </w:rPr>
        <w:t xml:space="preserve">Trans </w:t>
      </w:r>
      <w:r w:rsidRPr="00556B4F">
        <w:rPr>
          <w:rFonts w:ascii="Arial" w:eastAsia="Arial" w:hAnsi="Arial" w:cs="Arial"/>
          <w:color w:val="000000"/>
          <w:sz w:val="22"/>
          <w:lang w:val="fr-CA"/>
        </w:rPr>
        <w:t xml:space="preserve">» – </w:t>
      </w:r>
      <w:r w:rsidRPr="00556B4F">
        <w:rPr>
          <w:rFonts w:ascii="Arial" w:eastAsia="Arial" w:hAnsi="Arial" w:cs="Arial"/>
          <w:i/>
          <w:color w:val="000000"/>
          <w:sz w:val="22"/>
          <w:lang w:val="fr-CA"/>
        </w:rPr>
        <w:t xml:space="preserve">Un terme générique qui décrit les personnes ayant des identités de genre et des expressions de genre diverses qui ne sont pas conformes aux idées stéréotypées sur ce que signifie être une fille / femme ou un garçon / homme dans la société. Il comprend, mais </w:t>
      </w:r>
      <w:r w:rsidR="00556B4F" w:rsidRPr="008B4D49">
        <w:rPr>
          <w:rFonts w:ascii="Arial" w:eastAsia="Arial" w:hAnsi="Arial" w:cs="Arial"/>
          <w:i/>
          <w:sz w:val="22"/>
          <w:lang w:val="fr-CA"/>
        </w:rPr>
        <w:t>n’est pas limité à</w:t>
      </w:r>
      <w:r w:rsidRPr="008B4D49">
        <w:rPr>
          <w:rFonts w:ascii="Arial" w:eastAsia="Arial" w:hAnsi="Arial" w:cs="Arial"/>
          <w:i/>
          <w:sz w:val="22"/>
          <w:lang w:val="fr-CA"/>
        </w:rPr>
        <w:t xml:space="preserve">, </w:t>
      </w:r>
      <w:r w:rsidRPr="00556B4F">
        <w:rPr>
          <w:rFonts w:ascii="Arial" w:eastAsia="Arial" w:hAnsi="Arial" w:cs="Arial"/>
          <w:i/>
          <w:color w:val="000000"/>
          <w:sz w:val="22"/>
          <w:lang w:val="fr-CA"/>
        </w:rPr>
        <w:t>les personnes qui s'identifient comme transgenres, transsexuelles, travestis (adjectif) ou non conformes au genre (genre divers ou genderqueer).</w:t>
      </w:r>
    </w:p>
    <w:p w14:paraId="60072865" w14:textId="77777777" w:rsidR="00DF6E06" w:rsidRPr="00556B4F" w:rsidRDefault="00DF6E06">
      <w:pPr>
        <w:pBdr>
          <w:top w:val="nil"/>
          <w:left w:val="nil"/>
          <w:bottom w:val="nil"/>
          <w:right w:val="nil"/>
          <w:between w:val="nil"/>
        </w:pBdr>
        <w:spacing w:after="160" w:line="256" w:lineRule="auto"/>
        <w:ind w:left="0" w:hanging="2"/>
        <w:rPr>
          <w:rFonts w:ascii="Arial" w:eastAsia="Arial" w:hAnsi="Arial" w:cs="Arial"/>
          <w:color w:val="000000"/>
          <w:sz w:val="22"/>
          <w:lang w:val="fr-CA"/>
        </w:rPr>
      </w:pPr>
    </w:p>
    <w:p w14:paraId="0DA5976A" w14:textId="77777777" w:rsidR="00DF6E06" w:rsidRPr="00556B4F" w:rsidRDefault="00962DE2">
      <w:pPr>
        <w:numPr>
          <w:ilvl w:val="0"/>
          <w:numId w:val="1"/>
        </w:numPr>
        <w:ind w:left="0" w:hanging="2"/>
        <w:jc w:val="both"/>
        <w:rPr>
          <w:rFonts w:ascii="Arial" w:eastAsia="Arial" w:hAnsi="Arial" w:cs="Arial"/>
          <w:sz w:val="22"/>
          <w:lang w:val="fr-CA"/>
        </w:rPr>
      </w:pPr>
      <w:r w:rsidRPr="00556B4F">
        <w:rPr>
          <w:rFonts w:ascii="Arial" w:eastAsia="Arial" w:hAnsi="Arial" w:cs="Arial"/>
          <w:sz w:val="22"/>
          <w:lang w:val="fr-CA"/>
        </w:rPr>
        <w:t>«</w:t>
      </w:r>
      <w:r w:rsidRPr="00556B4F">
        <w:rPr>
          <w:rFonts w:ascii="Arial" w:eastAsia="Arial" w:hAnsi="Arial" w:cs="Arial"/>
          <w:i/>
          <w:sz w:val="22"/>
          <w:lang w:val="fr-CA"/>
        </w:rPr>
        <w:t xml:space="preserve"> Femme transgenre </w:t>
      </w:r>
      <w:r w:rsidRPr="00556B4F">
        <w:rPr>
          <w:rFonts w:ascii="Arial" w:eastAsia="Arial" w:hAnsi="Arial" w:cs="Arial"/>
          <w:sz w:val="22"/>
          <w:lang w:val="fr-CA"/>
        </w:rPr>
        <w:t>» – Personne à qui on a attribué le sexe masculin à la naissance, mais dont l'identité de genre est féminine</w:t>
      </w:r>
    </w:p>
    <w:p w14:paraId="24AE867D" w14:textId="77777777" w:rsidR="00DF6E06" w:rsidRPr="00556B4F" w:rsidRDefault="00962DE2">
      <w:pPr>
        <w:numPr>
          <w:ilvl w:val="0"/>
          <w:numId w:val="1"/>
        </w:numPr>
        <w:ind w:left="0" w:hanging="2"/>
        <w:jc w:val="both"/>
        <w:rPr>
          <w:rFonts w:ascii="Arial" w:eastAsia="Arial" w:hAnsi="Arial" w:cs="Arial"/>
          <w:sz w:val="22"/>
          <w:lang w:val="fr-CA"/>
        </w:rPr>
      </w:pPr>
      <w:r w:rsidRPr="00556B4F">
        <w:rPr>
          <w:rFonts w:ascii="Arial" w:eastAsia="Arial" w:hAnsi="Arial" w:cs="Arial"/>
          <w:sz w:val="22"/>
          <w:lang w:val="fr-CA"/>
        </w:rPr>
        <w:t xml:space="preserve">« </w:t>
      </w:r>
      <w:r w:rsidRPr="00556B4F">
        <w:rPr>
          <w:rFonts w:ascii="Arial" w:eastAsia="Arial" w:hAnsi="Arial" w:cs="Arial"/>
          <w:i/>
          <w:sz w:val="22"/>
          <w:lang w:val="fr-CA"/>
        </w:rPr>
        <w:t xml:space="preserve">Homme transgenre </w:t>
      </w:r>
      <w:r w:rsidRPr="00556B4F">
        <w:rPr>
          <w:rFonts w:ascii="Arial" w:eastAsia="Arial" w:hAnsi="Arial" w:cs="Arial"/>
          <w:sz w:val="22"/>
          <w:lang w:val="fr-CA"/>
        </w:rPr>
        <w:t>» – Personne à qui on a attribué le sexe féminin à la naissance, mais dont l'identité de genre est masculine</w:t>
      </w:r>
    </w:p>
    <w:p w14:paraId="566A401A" w14:textId="77777777" w:rsidR="00DF6E06" w:rsidRPr="00556B4F" w:rsidRDefault="00DF6E06">
      <w:pPr>
        <w:ind w:left="0" w:hanging="2"/>
        <w:jc w:val="both"/>
        <w:rPr>
          <w:rFonts w:ascii="Arial" w:eastAsia="Arial" w:hAnsi="Arial" w:cs="Arial"/>
          <w:sz w:val="22"/>
          <w:lang w:val="fr-CA"/>
        </w:rPr>
      </w:pPr>
    </w:p>
    <w:p w14:paraId="452A055B" w14:textId="7B22C98F" w:rsidR="00DF6E06" w:rsidRPr="00556B4F" w:rsidRDefault="00962DE2">
      <w:pPr>
        <w:ind w:left="0" w:hanging="2"/>
        <w:jc w:val="both"/>
        <w:rPr>
          <w:rFonts w:ascii="Arial" w:eastAsia="Arial" w:hAnsi="Arial" w:cs="Arial"/>
          <w:sz w:val="22"/>
          <w:lang w:val="fr-CA"/>
        </w:rPr>
      </w:pPr>
      <w:r w:rsidRPr="00556B4F">
        <w:rPr>
          <w:rFonts w:ascii="Arial" w:eastAsia="Arial" w:hAnsi="Arial" w:cs="Arial"/>
          <w:b/>
          <w:sz w:val="22"/>
          <w:lang w:val="fr-CA"/>
        </w:rPr>
        <w:t>O</w:t>
      </w:r>
      <w:r w:rsidR="00556B4F">
        <w:rPr>
          <w:rFonts w:ascii="Arial" w:eastAsia="Arial" w:hAnsi="Arial" w:cs="Arial"/>
          <w:b/>
          <w:sz w:val="22"/>
          <w:lang w:val="fr-CA"/>
        </w:rPr>
        <w:t xml:space="preserve">bjectif </w:t>
      </w:r>
    </w:p>
    <w:p w14:paraId="781C3AB6" w14:textId="44DFB69D" w:rsidR="00DF6E06" w:rsidRPr="00556B4F" w:rsidRDefault="00962DE2">
      <w:pPr>
        <w:numPr>
          <w:ilvl w:val="0"/>
          <w:numId w:val="5"/>
        </w:numPr>
        <w:ind w:left="0" w:hanging="2"/>
        <w:jc w:val="both"/>
        <w:rPr>
          <w:rFonts w:ascii="Arial" w:eastAsia="Arial" w:hAnsi="Arial" w:cs="Arial"/>
          <w:color w:val="000000"/>
          <w:sz w:val="22"/>
          <w:lang w:val="fr-CA"/>
        </w:rPr>
      </w:pPr>
      <w:r w:rsidRPr="00556B4F">
        <w:rPr>
          <w:rFonts w:ascii="Arial" w:eastAsia="Arial" w:hAnsi="Arial" w:cs="Arial"/>
          <w:sz w:val="22"/>
          <w:lang w:val="fr-CA"/>
        </w:rPr>
        <w:t xml:space="preserve">L'Association croit que toutes les personnes méritent des </w:t>
      </w:r>
      <w:r w:rsidRPr="008B4D49">
        <w:rPr>
          <w:rFonts w:ascii="Arial" w:eastAsia="Arial" w:hAnsi="Arial" w:cs="Arial"/>
          <w:sz w:val="22"/>
          <w:lang w:val="fr-CA"/>
        </w:rPr>
        <w:t>environnements</w:t>
      </w:r>
      <w:r w:rsidR="00556B4F" w:rsidRPr="008B4D49">
        <w:rPr>
          <w:rFonts w:ascii="Arial" w:eastAsia="Arial" w:hAnsi="Arial" w:cs="Arial"/>
          <w:sz w:val="22"/>
          <w:lang w:val="fr-CA"/>
        </w:rPr>
        <w:t xml:space="preserve"> de participation </w:t>
      </w:r>
      <w:r w:rsidRPr="00556B4F">
        <w:rPr>
          <w:rFonts w:ascii="Arial" w:eastAsia="Arial" w:hAnsi="Arial" w:cs="Arial"/>
          <w:sz w:val="22"/>
          <w:lang w:val="fr-CA"/>
        </w:rPr>
        <w:t>respectueux et inclusifs</w:t>
      </w:r>
      <w:r w:rsidR="00556B4F">
        <w:rPr>
          <w:rFonts w:ascii="Arial" w:eastAsia="Arial" w:hAnsi="Arial" w:cs="Arial"/>
          <w:sz w:val="22"/>
          <w:lang w:val="fr-CA"/>
        </w:rPr>
        <w:t>,</w:t>
      </w:r>
      <w:r w:rsidRPr="00556B4F">
        <w:rPr>
          <w:rFonts w:ascii="Arial" w:eastAsia="Arial" w:hAnsi="Arial" w:cs="Arial"/>
          <w:sz w:val="22"/>
          <w:lang w:val="fr-CA"/>
        </w:rPr>
        <w:t xml:space="preserve"> qui valorisent l'identité de genre et l'expression de genre de la personne. L'Association veut s'assurer que tous les participants ont accès à des programmes et à des installations dans lesquels ils se sentent à l'aise et en sécurité. L'Association </w:t>
      </w:r>
      <w:r w:rsidR="00556B4F">
        <w:rPr>
          <w:rFonts w:ascii="Arial" w:eastAsia="Arial" w:hAnsi="Arial" w:cs="Arial"/>
          <w:sz w:val="22"/>
          <w:lang w:val="fr-CA"/>
        </w:rPr>
        <w:t>s’</w:t>
      </w:r>
      <w:r w:rsidRPr="00556B4F">
        <w:rPr>
          <w:rFonts w:ascii="Arial" w:eastAsia="Arial" w:hAnsi="Arial" w:cs="Arial"/>
          <w:sz w:val="22"/>
          <w:lang w:val="fr-CA"/>
        </w:rPr>
        <w:t xml:space="preserve">est engagée à mettre en œuvre cette politique de manière juste et équitable. </w:t>
      </w:r>
    </w:p>
    <w:p w14:paraId="6E056355" w14:textId="77777777" w:rsidR="00DF6E06" w:rsidRPr="00556B4F" w:rsidRDefault="00DF6E06">
      <w:pPr>
        <w:ind w:left="0" w:hanging="2"/>
        <w:jc w:val="both"/>
        <w:rPr>
          <w:rFonts w:ascii="Arial" w:eastAsia="Arial" w:hAnsi="Arial" w:cs="Arial"/>
          <w:sz w:val="22"/>
          <w:lang w:val="fr-CA"/>
        </w:rPr>
      </w:pPr>
    </w:p>
    <w:p w14:paraId="5FC0A099" w14:textId="77777777" w:rsidR="00DF6E06" w:rsidRPr="00556B4F" w:rsidRDefault="00962DE2">
      <w:pPr>
        <w:ind w:left="0" w:hanging="2"/>
        <w:jc w:val="both"/>
        <w:rPr>
          <w:rFonts w:ascii="Arial" w:eastAsia="Arial" w:hAnsi="Arial" w:cs="Arial"/>
          <w:color w:val="000000"/>
          <w:sz w:val="22"/>
          <w:lang w:val="fr-CA"/>
        </w:rPr>
      </w:pPr>
      <w:r w:rsidRPr="00556B4F">
        <w:rPr>
          <w:rFonts w:ascii="Arial" w:eastAsia="Arial" w:hAnsi="Arial" w:cs="Arial"/>
          <w:b/>
          <w:sz w:val="22"/>
          <w:lang w:val="fr-CA"/>
        </w:rPr>
        <w:t>Actions pour l'inclusion</w:t>
      </w:r>
    </w:p>
    <w:p w14:paraId="7BDDFCFF" w14:textId="77777777" w:rsidR="00DF6E06" w:rsidRPr="00556B4F" w:rsidRDefault="00962DE2">
      <w:pPr>
        <w:numPr>
          <w:ilvl w:val="0"/>
          <w:numId w:val="5"/>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L'Association s'engage à :</w:t>
      </w:r>
    </w:p>
    <w:p w14:paraId="075CC52F" w14:textId="77777777" w:rsidR="00556B4F" w:rsidRDefault="00962DE2" w:rsidP="004B08F4">
      <w:pPr>
        <w:numPr>
          <w:ilvl w:val="0"/>
          <w:numId w:val="2"/>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 xml:space="preserve">Fournir cette </w:t>
      </w:r>
      <w:r w:rsidRPr="00556B4F">
        <w:rPr>
          <w:rFonts w:ascii="Arial" w:eastAsia="Arial" w:hAnsi="Arial" w:cs="Arial"/>
          <w:i/>
          <w:color w:val="000000"/>
          <w:sz w:val="22"/>
          <w:lang w:val="fr-CA"/>
        </w:rPr>
        <w:t>politique</w:t>
      </w:r>
      <w:r w:rsidRPr="00556B4F">
        <w:rPr>
          <w:rFonts w:ascii="Arial" w:eastAsia="Arial" w:hAnsi="Arial" w:cs="Arial"/>
          <w:color w:val="000000"/>
          <w:sz w:val="22"/>
          <w:lang w:val="fr-CA"/>
        </w:rPr>
        <w:t xml:space="preserve"> au personnel de l'Association, aux directeurs et aux membres provinciaux et territoriaux et </w:t>
      </w:r>
      <w:r w:rsidR="00556B4F" w:rsidRPr="008B4D49">
        <w:rPr>
          <w:rFonts w:ascii="Arial" w:eastAsia="Arial" w:hAnsi="Arial" w:cs="Arial"/>
          <w:sz w:val="22"/>
          <w:lang w:val="fr-CA"/>
        </w:rPr>
        <w:t xml:space="preserve">assurer une formation </w:t>
      </w:r>
      <w:r w:rsidR="00556B4F" w:rsidRPr="00556B4F">
        <w:rPr>
          <w:rFonts w:ascii="Arial" w:eastAsia="Arial" w:hAnsi="Arial" w:cs="Arial"/>
          <w:color w:val="000000"/>
          <w:sz w:val="22"/>
          <w:lang w:val="fr-CA"/>
        </w:rPr>
        <w:t>sur l’importance de l’inclusion trans et ce que cela implique en termes de pratiques, politiques, procédures et normes de comportement.</w:t>
      </w:r>
    </w:p>
    <w:p w14:paraId="3FB51D55" w14:textId="0D055506" w:rsidR="00DF6E06" w:rsidRPr="00556B4F" w:rsidRDefault="00962DE2" w:rsidP="004B08F4">
      <w:pPr>
        <w:numPr>
          <w:ilvl w:val="0"/>
          <w:numId w:val="2"/>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Fournir des formulaires d'inscription et d'autres documents qui permettent:</w:t>
      </w:r>
    </w:p>
    <w:p w14:paraId="22331ADA" w14:textId="738CBE5E" w:rsidR="00DF6E06" w:rsidRPr="00556B4F" w:rsidRDefault="008B4D49">
      <w:pPr>
        <w:numPr>
          <w:ilvl w:val="1"/>
          <w:numId w:val="4"/>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La</w:t>
      </w:r>
      <w:r w:rsidR="00962DE2" w:rsidRPr="00556B4F">
        <w:rPr>
          <w:rFonts w:ascii="Arial" w:eastAsia="Arial" w:hAnsi="Arial" w:cs="Arial"/>
          <w:color w:val="000000"/>
          <w:sz w:val="22"/>
          <w:lang w:val="fr-CA"/>
        </w:rPr>
        <w:t xml:space="preserve"> personne d'indiquer son identité et son expression de genre, plutôt que son sexe ou son genre;</w:t>
      </w:r>
      <w:r w:rsidR="00556B4F">
        <w:rPr>
          <w:rFonts w:ascii="Arial" w:eastAsia="Arial" w:hAnsi="Arial" w:cs="Arial"/>
          <w:color w:val="000000"/>
          <w:sz w:val="22"/>
          <w:lang w:val="fr-CA"/>
        </w:rPr>
        <w:t xml:space="preserve"> </w:t>
      </w:r>
      <w:r w:rsidR="00962DE2" w:rsidRPr="00556B4F">
        <w:rPr>
          <w:rFonts w:ascii="Arial" w:eastAsia="Arial" w:hAnsi="Arial" w:cs="Arial"/>
          <w:color w:val="000000"/>
          <w:sz w:val="22"/>
          <w:lang w:val="fr-CA"/>
        </w:rPr>
        <w:t>et</w:t>
      </w:r>
    </w:p>
    <w:p w14:paraId="1D99CFED" w14:textId="55B13AB5" w:rsidR="00DF6E06" w:rsidRPr="00556B4F" w:rsidRDefault="00556B4F">
      <w:pPr>
        <w:numPr>
          <w:ilvl w:val="1"/>
          <w:numId w:val="4"/>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L’individu</w:t>
      </w:r>
      <w:r w:rsidR="00962DE2" w:rsidRPr="00556B4F">
        <w:rPr>
          <w:rFonts w:ascii="Arial" w:eastAsia="Arial" w:hAnsi="Arial" w:cs="Arial"/>
          <w:color w:val="000000"/>
          <w:sz w:val="22"/>
          <w:lang w:val="fr-CA"/>
        </w:rPr>
        <w:t xml:space="preserve"> de s'abstenir d'indiquer une identité de genre sans conséquence pour la personne</w:t>
      </w:r>
    </w:p>
    <w:p w14:paraId="33E992EC" w14:textId="77777777" w:rsidR="00556B4F" w:rsidRDefault="00962DE2" w:rsidP="00556B4F">
      <w:pPr>
        <w:numPr>
          <w:ilvl w:val="0"/>
          <w:numId w:val="2"/>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lastRenderedPageBreak/>
        <w:t>Tenir à jour les documents organisationnels et le site Web de l'Association d'une manière qui favorise un langage et des images inclusifs</w:t>
      </w:r>
    </w:p>
    <w:p w14:paraId="603C3D03" w14:textId="23028D0B" w:rsidR="00DF6E06" w:rsidRPr="00556B4F" w:rsidRDefault="00962DE2" w:rsidP="00556B4F">
      <w:pPr>
        <w:numPr>
          <w:ilvl w:val="0"/>
          <w:numId w:val="2"/>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Désigner les personnes par leur nom et leur pronom préférés</w:t>
      </w:r>
    </w:p>
    <w:p w14:paraId="01FD8CF0" w14:textId="52A430D1" w:rsidR="00DF6E06" w:rsidRPr="00556B4F" w:rsidRDefault="00962DE2">
      <w:pPr>
        <w:numPr>
          <w:ilvl w:val="0"/>
          <w:numId w:val="2"/>
        </w:numPr>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 xml:space="preserve">Travailler avec les athlètes trans à la mise en œuvre, </w:t>
      </w:r>
      <w:r w:rsidR="00556B4F">
        <w:rPr>
          <w:rFonts w:ascii="Arial" w:eastAsia="Arial" w:hAnsi="Arial" w:cs="Arial"/>
          <w:color w:val="000000"/>
          <w:sz w:val="22"/>
          <w:lang w:val="fr-CA"/>
        </w:rPr>
        <w:t xml:space="preserve">le suivi </w:t>
      </w:r>
      <w:r w:rsidRPr="00556B4F">
        <w:rPr>
          <w:rFonts w:ascii="Arial" w:eastAsia="Arial" w:hAnsi="Arial" w:cs="Arial"/>
          <w:color w:val="000000"/>
          <w:sz w:val="22"/>
          <w:lang w:val="fr-CA"/>
        </w:rPr>
        <w:t>et/ou à la modification de</w:t>
      </w:r>
      <w:r w:rsidR="00556B4F">
        <w:rPr>
          <w:rFonts w:ascii="Arial" w:eastAsia="Arial" w:hAnsi="Arial" w:cs="Arial"/>
          <w:color w:val="000000"/>
          <w:sz w:val="22"/>
          <w:lang w:val="fr-CA"/>
        </w:rPr>
        <w:t xml:space="preserve"> </w:t>
      </w:r>
      <w:r w:rsidR="00556B4F" w:rsidRPr="008B4D49">
        <w:rPr>
          <w:rFonts w:ascii="Arial" w:eastAsia="Arial" w:hAnsi="Arial" w:cs="Arial"/>
          <w:sz w:val="22"/>
          <w:lang w:val="fr-CA"/>
        </w:rPr>
        <w:t>cette</w:t>
      </w:r>
      <w:r w:rsidRPr="008B4D49">
        <w:rPr>
          <w:rFonts w:ascii="Arial" w:eastAsia="Arial" w:hAnsi="Arial" w:cs="Arial"/>
          <w:sz w:val="22"/>
          <w:lang w:val="fr-CA"/>
        </w:rPr>
        <w:t xml:space="preserve"> </w:t>
      </w:r>
      <w:r w:rsidRPr="00556B4F">
        <w:rPr>
          <w:rFonts w:ascii="Arial" w:eastAsia="Arial" w:hAnsi="Arial" w:cs="Arial"/>
          <w:i/>
          <w:color w:val="000000"/>
          <w:sz w:val="22"/>
          <w:lang w:val="fr-CA"/>
        </w:rPr>
        <w:t>politique</w:t>
      </w:r>
    </w:p>
    <w:p w14:paraId="7714756D" w14:textId="77777777" w:rsidR="00DF6E06" w:rsidRPr="00556B4F" w:rsidRDefault="00962DE2">
      <w:pPr>
        <w:numPr>
          <w:ilvl w:val="0"/>
          <w:numId w:val="2"/>
        </w:numPr>
        <w:ind w:left="0" w:hanging="2"/>
        <w:jc w:val="both"/>
        <w:rPr>
          <w:rFonts w:ascii="Arial" w:eastAsia="Arial" w:hAnsi="Arial" w:cs="Arial"/>
          <w:sz w:val="22"/>
          <w:lang w:val="fr-CA"/>
        </w:rPr>
      </w:pPr>
      <w:r w:rsidRPr="00556B4F">
        <w:rPr>
          <w:rFonts w:ascii="Arial" w:eastAsia="Arial" w:hAnsi="Arial" w:cs="Arial"/>
          <w:sz w:val="22"/>
          <w:lang w:val="fr-CA"/>
        </w:rPr>
        <w:t>Lorsque l'Association aura le pouvoir de déterminer l'utilisation par les participants des toilettes, des vestiaires et d'autres installations, l'Association permettra aux personnes d'utiliser les installations de leur identité de genre</w:t>
      </w:r>
    </w:p>
    <w:p w14:paraId="66E9D72D" w14:textId="7C7B87F8" w:rsidR="00DF6E06" w:rsidRPr="008B4D49" w:rsidRDefault="00556B4F">
      <w:pPr>
        <w:numPr>
          <w:ilvl w:val="0"/>
          <w:numId w:val="2"/>
        </w:numPr>
        <w:ind w:left="0" w:hanging="2"/>
        <w:jc w:val="both"/>
        <w:rPr>
          <w:rFonts w:ascii="Arial" w:eastAsia="Arial" w:hAnsi="Arial" w:cs="Arial"/>
          <w:sz w:val="22"/>
          <w:lang w:val="fr-CA"/>
        </w:rPr>
      </w:pPr>
      <w:r w:rsidRPr="008B4D49">
        <w:rPr>
          <w:rFonts w:ascii="Arial" w:eastAsia="Arial" w:hAnsi="Arial" w:cs="Arial"/>
          <w:sz w:val="22"/>
          <w:lang w:val="fr-CA"/>
        </w:rPr>
        <w:t>Assurer</w:t>
      </w:r>
      <w:r w:rsidR="00962DE2" w:rsidRPr="008B4D49">
        <w:rPr>
          <w:rFonts w:ascii="Arial" w:eastAsia="Arial" w:hAnsi="Arial" w:cs="Arial"/>
          <w:sz w:val="22"/>
          <w:lang w:val="fr-CA"/>
        </w:rPr>
        <w:t xml:space="preserve"> que les uniformes et les codes vestimentaires respectent l'identité sexuelle et l'expression de l'identité sexuelle d'une personne</w:t>
      </w:r>
    </w:p>
    <w:p w14:paraId="33F0BE94" w14:textId="77777777" w:rsidR="00DF6E06" w:rsidRPr="008B4D49" w:rsidRDefault="00962DE2">
      <w:pPr>
        <w:numPr>
          <w:ilvl w:val="0"/>
          <w:numId w:val="2"/>
        </w:numPr>
        <w:ind w:left="0" w:hanging="2"/>
        <w:jc w:val="both"/>
        <w:rPr>
          <w:rFonts w:ascii="Arial" w:eastAsia="Arial" w:hAnsi="Arial" w:cs="Arial"/>
          <w:sz w:val="22"/>
          <w:lang w:val="fr-CA"/>
        </w:rPr>
      </w:pPr>
      <w:r w:rsidRPr="008B4D49">
        <w:rPr>
          <w:rFonts w:ascii="Arial" w:eastAsia="Arial" w:hAnsi="Arial" w:cs="Arial"/>
          <w:sz w:val="22"/>
          <w:lang w:val="fr-CA"/>
        </w:rPr>
        <w:t xml:space="preserve">Déterminer les lignes directrices d'admissibilité pour les participants transgenres (telles que décrites dans la présente </w:t>
      </w:r>
      <w:r w:rsidRPr="008B4D49">
        <w:rPr>
          <w:rFonts w:ascii="Arial" w:eastAsia="Arial" w:hAnsi="Arial" w:cs="Arial"/>
          <w:i/>
          <w:sz w:val="22"/>
          <w:lang w:val="fr-CA"/>
        </w:rPr>
        <w:t>politique</w:t>
      </w:r>
      <w:r w:rsidRPr="008B4D49">
        <w:rPr>
          <w:rFonts w:ascii="Arial" w:eastAsia="Arial" w:hAnsi="Arial" w:cs="Arial"/>
          <w:sz w:val="22"/>
          <w:lang w:val="fr-CA"/>
        </w:rPr>
        <w:t>)</w:t>
      </w:r>
    </w:p>
    <w:p w14:paraId="35CBF674" w14:textId="77777777" w:rsidR="00DF6E06" w:rsidRPr="008B4D49" w:rsidRDefault="00DF6E06">
      <w:pPr>
        <w:ind w:left="0" w:hanging="2"/>
        <w:jc w:val="both"/>
        <w:rPr>
          <w:rFonts w:ascii="Arial" w:eastAsia="Arial" w:hAnsi="Arial" w:cs="Arial"/>
          <w:sz w:val="22"/>
          <w:lang w:val="fr-CA"/>
        </w:rPr>
      </w:pPr>
    </w:p>
    <w:p w14:paraId="6CBA8CF1" w14:textId="77777777" w:rsidR="00DF6E06" w:rsidRPr="008B4D49" w:rsidRDefault="00962DE2">
      <w:pPr>
        <w:pBdr>
          <w:top w:val="nil"/>
          <w:left w:val="nil"/>
          <w:bottom w:val="nil"/>
          <w:right w:val="nil"/>
          <w:between w:val="nil"/>
        </w:pBdr>
        <w:spacing w:line="240" w:lineRule="auto"/>
        <w:ind w:left="0" w:hanging="2"/>
        <w:jc w:val="both"/>
        <w:rPr>
          <w:rFonts w:ascii="Arial" w:eastAsia="Arial" w:hAnsi="Arial" w:cs="Arial"/>
          <w:b/>
          <w:sz w:val="22"/>
          <w:lang w:val="fr-CA"/>
        </w:rPr>
      </w:pPr>
      <w:r w:rsidRPr="008B4D49">
        <w:rPr>
          <w:rFonts w:ascii="Arial" w:eastAsia="Arial" w:hAnsi="Arial" w:cs="Arial"/>
          <w:b/>
          <w:sz w:val="22"/>
          <w:lang w:val="fr-CA"/>
        </w:rPr>
        <w:t>Lignes directrices sur l'admissibilité - Exceptions</w:t>
      </w:r>
    </w:p>
    <w:p w14:paraId="4BBDDA5C" w14:textId="52C8CB11" w:rsidR="00DF6E06" w:rsidRPr="008B4D49" w:rsidRDefault="00962DE2">
      <w:pPr>
        <w:numPr>
          <w:ilvl w:val="0"/>
          <w:numId w:val="5"/>
        </w:numPr>
        <w:pBdr>
          <w:top w:val="nil"/>
          <w:left w:val="nil"/>
          <w:bottom w:val="nil"/>
          <w:right w:val="nil"/>
          <w:between w:val="nil"/>
        </w:pBdr>
        <w:spacing w:line="240" w:lineRule="auto"/>
        <w:ind w:left="0" w:hanging="2"/>
        <w:jc w:val="both"/>
        <w:rPr>
          <w:rFonts w:ascii="Arial" w:eastAsia="Arial" w:hAnsi="Arial" w:cs="Arial"/>
          <w:sz w:val="22"/>
          <w:lang w:val="fr-CA"/>
        </w:rPr>
      </w:pPr>
      <w:r w:rsidRPr="008B4D49">
        <w:rPr>
          <w:rFonts w:ascii="Arial" w:eastAsia="Arial" w:hAnsi="Arial" w:cs="Arial"/>
          <w:sz w:val="22"/>
          <w:lang w:val="fr-CA"/>
        </w:rPr>
        <w:t xml:space="preserve">S'il y a lieu, les lignes directrices d'admissibilité de la Confédération mondiale de baseball et de softball et/ou les </w:t>
      </w:r>
      <w:r w:rsidR="00556B4F" w:rsidRPr="008B4D49">
        <w:rPr>
          <w:rFonts w:ascii="Arial" w:eastAsia="Arial" w:hAnsi="Arial" w:cs="Arial"/>
          <w:sz w:val="22"/>
          <w:lang w:val="fr-CA"/>
        </w:rPr>
        <w:t>J</w:t>
      </w:r>
      <w:r w:rsidRPr="008B4D49">
        <w:rPr>
          <w:rFonts w:ascii="Arial" w:eastAsia="Arial" w:hAnsi="Arial" w:cs="Arial"/>
          <w:sz w:val="22"/>
          <w:lang w:val="fr-CA"/>
        </w:rPr>
        <w:t xml:space="preserve">eux majeurs concernant la participation des athlètes trans remplaceront les lignes directrices d'admissibilité énoncées dans </w:t>
      </w:r>
      <w:r w:rsidR="00556B4F" w:rsidRPr="008B4D49">
        <w:rPr>
          <w:rFonts w:ascii="Arial" w:eastAsia="Arial" w:hAnsi="Arial" w:cs="Arial"/>
          <w:sz w:val="22"/>
          <w:lang w:val="fr-CA"/>
        </w:rPr>
        <w:t xml:space="preserve">cette </w:t>
      </w:r>
      <w:r w:rsidRPr="008B4D49">
        <w:rPr>
          <w:rFonts w:ascii="Arial" w:eastAsia="Arial" w:hAnsi="Arial" w:cs="Arial"/>
          <w:sz w:val="22"/>
          <w:lang w:val="fr-CA"/>
        </w:rPr>
        <w:t>politique.</w:t>
      </w:r>
    </w:p>
    <w:p w14:paraId="4D6EC8F9" w14:textId="77777777" w:rsidR="00DF6E06" w:rsidRPr="008B4D49" w:rsidRDefault="00DF6E06">
      <w:pPr>
        <w:pBdr>
          <w:top w:val="nil"/>
          <w:left w:val="nil"/>
          <w:bottom w:val="nil"/>
          <w:right w:val="nil"/>
          <w:between w:val="nil"/>
        </w:pBdr>
        <w:spacing w:line="240" w:lineRule="auto"/>
        <w:ind w:left="0" w:hanging="2"/>
        <w:jc w:val="both"/>
        <w:rPr>
          <w:rFonts w:ascii="Arial" w:eastAsia="Arial" w:hAnsi="Arial" w:cs="Arial"/>
          <w:sz w:val="22"/>
          <w:lang w:val="fr-CA"/>
        </w:rPr>
      </w:pPr>
    </w:p>
    <w:p w14:paraId="2E20D239" w14:textId="77777777" w:rsidR="00DF6E06" w:rsidRPr="008B4D49" w:rsidRDefault="00962DE2">
      <w:pPr>
        <w:pBdr>
          <w:top w:val="nil"/>
          <w:left w:val="nil"/>
          <w:bottom w:val="nil"/>
          <w:right w:val="nil"/>
          <w:between w:val="nil"/>
        </w:pBdr>
        <w:spacing w:line="240" w:lineRule="auto"/>
        <w:ind w:left="0" w:hanging="2"/>
        <w:jc w:val="both"/>
        <w:rPr>
          <w:rFonts w:ascii="Arial" w:eastAsia="Arial" w:hAnsi="Arial" w:cs="Arial"/>
          <w:sz w:val="22"/>
          <w:lang w:val="fr-CA"/>
        </w:rPr>
      </w:pPr>
      <w:r w:rsidRPr="008B4D49">
        <w:rPr>
          <w:rFonts w:ascii="Arial" w:eastAsia="Arial" w:hAnsi="Arial" w:cs="Arial"/>
          <w:b/>
          <w:sz w:val="22"/>
          <w:lang w:val="fr-CA"/>
        </w:rPr>
        <w:t>Lignes directrices sur l'admissibilité</w:t>
      </w:r>
    </w:p>
    <w:p w14:paraId="3C2D9F69" w14:textId="195A2ACF" w:rsidR="00DF6E06" w:rsidRPr="00556B4F" w:rsidRDefault="00962DE2">
      <w:pPr>
        <w:numPr>
          <w:ilvl w:val="0"/>
          <w:numId w:val="5"/>
        </w:numPr>
        <w:pBdr>
          <w:top w:val="nil"/>
          <w:left w:val="nil"/>
          <w:bottom w:val="nil"/>
          <w:right w:val="nil"/>
          <w:between w:val="nil"/>
        </w:pBdr>
        <w:spacing w:line="240" w:lineRule="auto"/>
        <w:ind w:left="0" w:hanging="2"/>
        <w:jc w:val="both"/>
        <w:rPr>
          <w:rFonts w:ascii="Arial" w:eastAsia="Arial" w:hAnsi="Arial" w:cs="Arial"/>
          <w:color w:val="000000"/>
          <w:sz w:val="22"/>
          <w:lang w:val="fr-CA"/>
        </w:rPr>
      </w:pPr>
      <w:r w:rsidRPr="008B4D49">
        <w:rPr>
          <w:rFonts w:ascii="Arial" w:eastAsia="Arial" w:hAnsi="Arial" w:cs="Arial"/>
          <w:sz w:val="22"/>
          <w:lang w:val="fr-CA"/>
        </w:rPr>
        <w:t xml:space="preserve">En tant que principe général des </w:t>
      </w:r>
      <w:r w:rsidRPr="00556B4F">
        <w:rPr>
          <w:rFonts w:ascii="Arial" w:eastAsia="Arial" w:hAnsi="Arial" w:cs="Arial"/>
          <w:color w:val="000000"/>
          <w:sz w:val="22"/>
          <w:lang w:val="fr-CA"/>
        </w:rPr>
        <w:t xml:space="preserve">lignes directrices d'admissibilité de l'Association, l'Association appuie l'énoncé suivant de Créer des </w:t>
      </w:r>
      <w:r w:rsidRPr="00556B4F">
        <w:rPr>
          <w:rFonts w:ascii="Arial" w:eastAsia="Arial" w:hAnsi="Arial" w:cs="Arial"/>
          <w:i/>
          <w:color w:val="000000"/>
          <w:sz w:val="22"/>
          <w:lang w:val="fr-CA"/>
        </w:rPr>
        <w:t>environnements inclusifs pour les participants trans dans le sport canadien</w:t>
      </w:r>
      <w:r w:rsidRPr="00556B4F">
        <w:rPr>
          <w:rFonts w:ascii="Arial" w:eastAsia="Arial" w:hAnsi="Arial" w:cs="Arial"/>
          <w:color w:val="000000"/>
          <w:sz w:val="22"/>
          <w:lang w:val="fr-CA"/>
        </w:rPr>
        <w:t xml:space="preserve"> :</w:t>
      </w:r>
    </w:p>
    <w:p w14:paraId="3D495CA8" w14:textId="77777777" w:rsidR="00DF6E06" w:rsidRPr="00556B4F" w:rsidRDefault="00DF6E06">
      <w:pPr>
        <w:pBdr>
          <w:top w:val="nil"/>
          <w:left w:val="nil"/>
          <w:bottom w:val="nil"/>
          <w:right w:val="nil"/>
          <w:between w:val="nil"/>
        </w:pBdr>
        <w:spacing w:line="240" w:lineRule="auto"/>
        <w:ind w:left="0" w:hanging="2"/>
        <w:jc w:val="both"/>
        <w:rPr>
          <w:rFonts w:ascii="Arial" w:eastAsia="Arial" w:hAnsi="Arial" w:cs="Arial"/>
          <w:color w:val="000000"/>
          <w:sz w:val="22"/>
          <w:lang w:val="fr-CA"/>
        </w:rPr>
      </w:pPr>
    </w:p>
    <w:p w14:paraId="427466E2" w14:textId="77777777" w:rsidR="00DF6E06" w:rsidRPr="00556B4F" w:rsidRDefault="00962DE2">
      <w:pPr>
        <w:pBdr>
          <w:top w:val="nil"/>
          <w:left w:val="nil"/>
          <w:bottom w:val="nil"/>
          <w:right w:val="nil"/>
          <w:between w:val="nil"/>
        </w:pBdr>
        <w:spacing w:line="240" w:lineRule="auto"/>
        <w:ind w:left="0" w:hanging="2"/>
        <w:jc w:val="both"/>
        <w:rPr>
          <w:rFonts w:ascii="Arial" w:eastAsia="Arial" w:hAnsi="Arial" w:cs="Arial"/>
          <w:color w:val="000000"/>
          <w:sz w:val="22"/>
          <w:lang w:val="fr-CA"/>
        </w:rPr>
      </w:pPr>
      <w:r w:rsidRPr="00556B4F">
        <w:rPr>
          <w:rFonts w:ascii="Arial" w:eastAsia="Arial" w:hAnsi="Arial" w:cs="Arial"/>
          <w:i/>
          <w:color w:val="000000"/>
          <w:sz w:val="22"/>
          <w:lang w:val="fr-CA"/>
        </w:rPr>
        <w:t>Sur la base de ce contexte et des preuves disponibles, le Groupe de travail d'experts a estimé que les athlètes trans devraient être en mesure de participer au genre auquel ils s'identifient, qu'ils aient ou non subi un traitement hormonal. Des exceptions pourraient être faites si un organisme de sport est en mesure de fournir des preuves démontrant que l'hormonothérapie est une exigence raisonnable et de bonne foi (c.-à-d. une réponse nécessaire à un besoin légitime) pour créer des règles du jeu équitables au niveau de la haute performance (p. 19)</w:t>
      </w:r>
    </w:p>
    <w:p w14:paraId="069BBB61" w14:textId="77777777" w:rsidR="00DF6E06" w:rsidRPr="00556B4F" w:rsidRDefault="00DF6E06">
      <w:pPr>
        <w:pBdr>
          <w:top w:val="nil"/>
          <w:left w:val="nil"/>
          <w:bottom w:val="nil"/>
          <w:right w:val="nil"/>
          <w:between w:val="nil"/>
        </w:pBdr>
        <w:spacing w:line="240" w:lineRule="auto"/>
        <w:ind w:left="0" w:hanging="2"/>
        <w:jc w:val="both"/>
        <w:rPr>
          <w:rFonts w:ascii="Arial" w:eastAsia="Arial" w:hAnsi="Arial" w:cs="Arial"/>
          <w:color w:val="000000"/>
          <w:sz w:val="22"/>
          <w:lang w:val="fr-CA"/>
        </w:rPr>
      </w:pPr>
    </w:p>
    <w:p w14:paraId="1F703276" w14:textId="77777777" w:rsidR="00DF6E06" w:rsidRPr="00556B4F" w:rsidRDefault="00962DE2">
      <w:pPr>
        <w:numPr>
          <w:ilvl w:val="0"/>
          <w:numId w:val="5"/>
        </w:numPr>
        <w:pBdr>
          <w:top w:val="nil"/>
          <w:left w:val="nil"/>
          <w:bottom w:val="nil"/>
          <w:right w:val="nil"/>
          <w:between w:val="nil"/>
        </w:pBdr>
        <w:spacing w:line="240" w:lineRule="auto"/>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Aux niveaux récréatif et compétitif, une personne peut participer à sa catégorie de genre exprimée et identifiée.</w:t>
      </w:r>
    </w:p>
    <w:p w14:paraId="2E4C9184" w14:textId="77777777" w:rsidR="00DF6E06" w:rsidRPr="00556B4F" w:rsidRDefault="00DF6E06">
      <w:pPr>
        <w:pBdr>
          <w:top w:val="nil"/>
          <w:left w:val="nil"/>
          <w:bottom w:val="nil"/>
          <w:right w:val="nil"/>
          <w:between w:val="nil"/>
        </w:pBdr>
        <w:spacing w:line="240" w:lineRule="auto"/>
        <w:ind w:left="0" w:hanging="2"/>
        <w:jc w:val="both"/>
        <w:rPr>
          <w:rFonts w:ascii="Arial" w:eastAsia="Arial" w:hAnsi="Arial" w:cs="Arial"/>
          <w:color w:val="000000"/>
          <w:sz w:val="22"/>
          <w:lang w:val="fr-CA"/>
        </w:rPr>
      </w:pPr>
    </w:p>
    <w:p w14:paraId="4A7734B7" w14:textId="77777777" w:rsidR="00DF6E06" w:rsidRPr="00556B4F" w:rsidRDefault="00962DE2">
      <w:pPr>
        <w:numPr>
          <w:ilvl w:val="0"/>
          <w:numId w:val="5"/>
        </w:numPr>
        <w:pBdr>
          <w:top w:val="nil"/>
          <w:left w:val="nil"/>
          <w:bottom w:val="nil"/>
          <w:right w:val="nil"/>
          <w:between w:val="nil"/>
        </w:pBdr>
        <w:spacing w:line="240" w:lineRule="auto"/>
        <w:ind w:left="0" w:hanging="2"/>
        <w:jc w:val="both"/>
        <w:rPr>
          <w:rFonts w:ascii="Arial" w:eastAsia="Arial" w:hAnsi="Arial" w:cs="Arial"/>
          <w:color w:val="000000"/>
          <w:sz w:val="22"/>
          <w:lang w:val="fr-CA"/>
        </w:rPr>
      </w:pPr>
      <w:r w:rsidRPr="00556B4F">
        <w:rPr>
          <w:rFonts w:ascii="Arial" w:eastAsia="Arial" w:hAnsi="Arial" w:cs="Arial"/>
          <w:color w:val="000000"/>
          <w:sz w:val="22"/>
          <w:lang w:val="fr-CA"/>
        </w:rPr>
        <w:t>Les personnes ne sont pas tenues de divulguer leur identité trans ou leurs antécédents à l'Association ou à l'un de ses représentants (p. ex., entraîneurs, personnel, directeurs, officiels, etc.).</w:t>
      </w:r>
    </w:p>
    <w:p w14:paraId="5A2E406C" w14:textId="77777777" w:rsidR="00DF6E06" w:rsidRPr="00556B4F" w:rsidRDefault="00DF6E06">
      <w:pPr>
        <w:pBdr>
          <w:top w:val="nil"/>
          <w:left w:val="nil"/>
          <w:bottom w:val="nil"/>
          <w:right w:val="nil"/>
          <w:between w:val="nil"/>
        </w:pBdr>
        <w:spacing w:line="240" w:lineRule="auto"/>
        <w:ind w:left="0" w:hanging="2"/>
        <w:jc w:val="both"/>
        <w:rPr>
          <w:rFonts w:ascii="Arial" w:eastAsia="Arial" w:hAnsi="Arial" w:cs="Arial"/>
          <w:color w:val="000000"/>
          <w:sz w:val="22"/>
          <w:lang w:val="fr-CA"/>
        </w:rPr>
      </w:pPr>
    </w:p>
    <w:p w14:paraId="3B6A574F" w14:textId="1E135FC9" w:rsidR="00DF6E06" w:rsidRPr="00556B4F" w:rsidRDefault="00962DE2">
      <w:pPr>
        <w:numPr>
          <w:ilvl w:val="0"/>
          <w:numId w:val="5"/>
        </w:numPr>
        <w:ind w:left="0" w:hanging="2"/>
        <w:jc w:val="both"/>
        <w:rPr>
          <w:rFonts w:ascii="Arial" w:eastAsia="Arial" w:hAnsi="Arial" w:cs="Arial"/>
          <w:sz w:val="22"/>
          <w:lang w:val="fr-CA"/>
        </w:rPr>
      </w:pPr>
      <w:r w:rsidRPr="00556B4F">
        <w:rPr>
          <w:rFonts w:ascii="Arial" w:eastAsia="Arial" w:hAnsi="Arial" w:cs="Arial"/>
          <w:sz w:val="22"/>
          <w:lang w:val="fr-CA"/>
        </w:rPr>
        <w:t xml:space="preserve">Tous les athlètes doivent savoir qu'ils peuvent être soumis </w:t>
      </w:r>
      <w:r w:rsidR="00556B4F" w:rsidRPr="00556B4F">
        <w:rPr>
          <w:rFonts w:ascii="Arial" w:eastAsia="Arial" w:hAnsi="Arial" w:cs="Arial"/>
          <w:sz w:val="22"/>
          <w:lang w:val="fr-CA"/>
        </w:rPr>
        <w:t xml:space="preserve">à </w:t>
      </w:r>
      <w:r w:rsidR="00556B4F" w:rsidRPr="008B4D49">
        <w:rPr>
          <w:rFonts w:ascii="Arial" w:eastAsia="Arial" w:hAnsi="Arial" w:cs="Arial"/>
          <w:sz w:val="22"/>
          <w:lang w:val="fr-CA"/>
        </w:rPr>
        <w:t xml:space="preserve">des tests de contrôle antidopage </w:t>
      </w:r>
      <w:r w:rsidR="00556B4F" w:rsidRPr="00556B4F">
        <w:rPr>
          <w:rFonts w:ascii="Arial" w:eastAsia="Arial" w:hAnsi="Arial" w:cs="Arial"/>
          <w:sz w:val="22"/>
          <w:lang w:val="fr-CA"/>
        </w:rPr>
        <w:t>en vertu</w:t>
      </w:r>
      <w:r w:rsidR="00556B4F">
        <w:rPr>
          <w:rFonts w:ascii="Arial" w:eastAsia="Arial" w:hAnsi="Arial" w:cs="Arial"/>
          <w:sz w:val="22"/>
          <w:lang w:val="fr-CA"/>
        </w:rPr>
        <w:t xml:space="preserve"> </w:t>
      </w:r>
      <w:r w:rsidRPr="00556B4F">
        <w:rPr>
          <w:rFonts w:ascii="Arial" w:eastAsia="Arial" w:hAnsi="Arial" w:cs="Arial"/>
          <w:sz w:val="22"/>
          <w:lang w:val="fr-CA"/>
        </w:rPr>
        <w:t xml:space="preserve">du Programme canadien antidopage. Les athlètes trans qui subissent un changement de sexe sont encouragés à communiquer avec le Centre canadien pour l'éthique dans le sport (CCES) pour déterminer quelles procédures, le cas échéant, sont nécessaires pour obtenir une exemption d'utilisation à des fins thérapeutiques (AUT). </w:t>
      </w:r>
    </w:p>
    <w:p w14:paraId="79A45700" w14:textId="77777777" w:rsidR="00DF6E06" w:rsidRPr="00556B4F" w:rsidRDefault="00DF6E06">
      <w:pPr>
        <w:ind w:left="0" w:hanging="2"/>
        <w:jc w:val="both"/>
        <w:rPr>
          <w:rFonts w:ascii="Arial" w:eastAsia="Arial" w:hAnsi="Arial" w:cs="Arial"/>
          <w:sz w:val="22"/>
          <w:lang w:val="fr-CA"/>
        </w:rPr>
      </w:pPr>
    </w:p>
    <w:p w14:paraId="30AA8B05" w14:textId="77777777" w:rsidR="00DF6E06" w:rsidRPr="00556B4F" w:rsidRDefault="00962DE2">
      <w:pPr>
        <w:ind w:left="0" w:hanging="2"/>
        <w:jc w:val="both"/>
        <w:rPr>
          <w:rFonts w:ascii="Arial" w:eastAsia="Arial" w:hAnsi="Arial" w:cs="Arial"/>
          <w:sz w:val="22"/>
          <w:lang w:val="fr-CA"/>
        </w:rPr>
      </w:pPr>
      <w:r w:rsidRPr="00556B4F">
        <w:rPr>
          <w:rFonts w:ascii="Arial" w:eastAsia="Arial" w:hAnsi="Arial" w:cs="Arial"/>
          <w:b/>
          <w:sz w:val="22"/>
          <w:lang w:val="fr-CA"/>
        </w:rPr>
        <w:t>Confidentialité</w:t>
      </w:r>
    </w:p>
    <w:p w14:paraId="19A40793" w14:textId="6F57DB3E" w:rsidR="00DF6E06" w:rsidRPr="008B4D49" w:rsidRDefault="00962DE2">
      <w:pPr>
        <w:numPr>
          <w:ilvl w:val="0"/>
          <w:numId w:val="5"/>
        </w:numPr>
        <w:ind w:left="0" w:hanging="2"/>
        <w:jc w:val="both"/>
        <w:rPr>
          <w:rFonts w:ascii="Arial" w:eastAsia="Arial" w:hAnsi="Arial" w:cs="Arial"/>
          <w:sz w:val="22"/>
          <w:lang w:val="fr-CA"/>
        </w:rPr>
      </w:pPr>
      <w:r w:rsidRPr="00556B4F">
        <w:rPr>
          <w:rFonts w:ascii="Arial" w:eastAsia="Arial" w:hAnsi="Arial" w:cs="Arial"/>
          <w:sz w:val="22"/>
          <w:lang w:val="fr-CA"/>
        </w:rPr>
        <w:lastRenderedPageBreak/>
        <w:t xml:space="preserve">L'Association ne divulguera à des tiers aucun document </w:t>
      </w:r>
      <w:r w:rsidRPr="008B4D49">
        <w:rPr>
          <w:rFonts w:ascii="Arial" w:eastAsia="Arial" w:hAnsi="Arial" w:cs="Arial"/>
          <w:sz w:val="22"/>
          <w:lang w:val="fr-CA"/>
        </w:rPr>
        <w:t xml:space="preserve">ou </w:t>
      </w:r>
      <w:r w:rsidR="00556B4F" w:rsidRPr="008B4D49">
        <w:rPr>
          <w:rFonts w:ascii="Arial" w:eastAsia="Arial" w:hAnsi="Arial" w:cs="Arial"/>
          <w:sz w:val="22"/>
          <w:lang w:val="fr-CA"/>
        </w:rPr>
        <w:t xml:space="preserve">information </w:t>
      </w:r>
      <w:r w:rsidRPr="008B4D49">
        <w:rPr>
          <w:rFonts w:ascii="Arial" w:eastAsia="Arial" w:hAnsi="Arial" w:cs="Arial"/>
          <w:sz w:val="22"/>
          <w:lang w:val="fr-CA"/>
        </w:rPr>
        <w:t>sur l'identité et l'expression de genre d'une personne. La vie privée et la confidentialité d'une personne trans ser</w:t>
      </w:r>
      <w:r w:rsidR="00556B4F" w:rsidRPr="008B4D49">
        <w:rPr>
          <w:rFonts w:ascii="Arial" w:eastAsia="Arial" w:hAnsi="Arial" w:cs="Arial"/>
          <w:sz w:val="22"/>
          <w:lang w:val="fr-CA"/>
        </w:rPr>
        <w:t xml:space="preserve">a </w:t>
      </w:r>
      <w:r w:rsidRPr="008B4D49">
        <w:rPr>
          <w:rFonts w:ascii="Arial" w:eastAsia="Arial" w:hAnsi="Arial" w:cs="Arial"/>
          <w:sz w:val="22"/>
          <w:lang w:val="fr-CA"/>
        </w:rPr>
        <w:t>respectées.</w:t>
      </w:r>
    </w:p>
    <w:p w14:paraId="44C35430" w14:textId="77777777" w:rsidR="00DF6E06" w:rsidRPr="008B4D49" w:rsidRDefault="00DF6E06">
      <w:pPr>
        <w:ind w:left="0" w:hanging="2"/>
        <w:jc w:val="both"/>
        <w:rPr>
          <w:rFonts w:ascii="Arial" w:eastAsia="Arial" w:hAnsi="Arial" w:cs="Arial"/>
          <w:sz w:val="22"/>
          <w:lang w:val="fr-CA"/>
        </w:rPr>
      </w:pPr>
    </w:p>
    <w:p w14:paraId="1481A1B6" w14:textId="77777777" w:rsidR="00DF6E06" w:rsidRPr="008B4D49" w:rsidRDefault="00962DE2">
      <w:pPr>
        <w:ind w:left="0" w:hanging="2"/>
        <w:jc w:val="both"/>
        <w:rPr>
          <w:rFonts w:ascii="Arial" w:eastAsia="Arial" w:hAnsi="Arial" w:cs="Arial"/>
          <w:sz w:val="22"/>
          <w:lang w:val="fr-CA"/>
        </w:rPr>
      </w:pPr>
      <w:r w:rsidRPr="008B4D49">
        <w:rPr>
          <w:rFonts w:ascii="Arial" w:eastAsia="Arial" w:hAnsi="Arial" w:cs="Arial"/>
          <w:b/>
          <w:sz w:val="22"/>
          <w:lang w:val="fr-CA"/>
        </w:rPr>
        <w:t>Surveillance continue</w:t>
      </w:r>
    </w:p>
    <w:p w14:paraId="4C2588A6" w14:textId="579F3D47" w:rsidR="00DF6E06" w:rsidRPr="008B4D49" w:rsidRDefault="00962DE2">
      <w:pPr>
        <w:numPr>
          <w:ilvl w:val="0"/>
          <w:numId w:val="5"/>
        </w:numPr>
        <w:ind w:left="0" w:hanging="2"/>
        <w:jc w:val="both"/>
        <w:rPr>
          <w:rFonts w:ascii="Arial" w:eastAsia="Arial" w:hAnsi="Arial" w:cs="Arial"/>
          <w:sz w:val="22"/>
          <w:lang w:val="fr-CA"/>
        </w:rPr>
      </w:pPr>
      <w:r w:rsidRPr="008B4D49">
        <w:rPr>
          <w:rFonts w:ascii="Arial" w:eastAsia="Arial" w:hAnsi="Arial" w:cs="Arial"/>
          <w:sz w:val="22"/>
          <w:lang w:val="fr-CA"/>
        </w:rPr>
        <w:t xml:space="preserve">L'Association s'engage à surveiller les développements en cours concernant les lignes directrices nationales et internationales de participation pour les athlètes trans et s'engage à surveiller la mise en œuvre, l'examen et/ou la révision de cette </w:t>
      </w:r>
      <w:r w:rsidRPr="008B4D49">
        <w:rPr>
          <w:rFonts w:ascii="Arial" w:eastAsia="Arial" w:hAnsi="Arial" w:cs="Arial"/>
          <w:i/>
          <w:sz w:val="22"/>
          <w:lang w:val="fr-CA"/>
        </w:rPr>
        <w:t>politique</w:t>
      </w:r>
      <w:r w:rsidRPr="008B4D49">
        <w:rPr>
          <w:rFonts w:ascii="Arial" w:eastAsia="Arial" w:hAnsi="Arial" w:cs="Arial"/>
          <w:sz w:val="22"/>
          <w:lang w:val="fr-CA"/>
        </w:rPr>
        <w:t xml:space="preserve"> chaque fois que de nouv</w:t>
      </w:r>
      <w:r w:rsidR="00556B4F" w:rsidRPr="008B4D49">
        <w:rPr>
          <w:rFonts w:ascii="Arial" w:eastAsia="Arial" w:hAnsi="Arial" w:cs="Arial"/>
          <w:sz w:val="22"/>
          <w:lang w:val="fr-CA"/>
        </w:rPr>
        <w:t>elles informations</w:t>
      </w:r>
      <w:r w:rsidRPr="008B4D49">
        <w:rPr>
          <w:rFonts w:ascii="Arial" w:eastAsia="Arial" w:hAnsi="Arial" w:cs="Arial"/>
          <w:sz w:val="22"/>
          <w:lang w:val="fr-CA"/>
        </w:rPr>
        <w:t xml:space="preserve"> deviennent disponibles.</w:t>
      </w:r>
    </w:p>
    <w:p w14:paraId="56F837B9" w14:textId="77777777" w:rsidR="00DF6E06" w:rsidRPr="008B4D49" w:rsidRDefault="00DF6E06">
      <w:pPr>
        <w:ind w:left="0" w:hanging="2"/>
        <w:jc w:val="both"/>
        <w:rPr>
          <w:rFonts w:ascii="Arial" w:eastAsia="Arial" w:hAnsi="Arial" w:cs="Arial"/>
          <w:sz w:val="22"/>
          <w:lang w:val="fr-CA"/>
        </w:rPr>
      </w:pPr>
    </w:p>
    <w:p w14:paraId="0B7E91DF" w14:textId="77777777" w:rsidR="00DF6E06" w:rsidRPr="008B4D49" w:rsidRDefault="00962DE2">
      <w:pPr>
        <w:ind w:left="0" w:hanging="2"/>
        <w:jc w:val="both"/>
        <w:rPr>
          <w:rFonts w:ascii="Arial" w:eastAsia="Arial" w:hAnsi="Arial" w:cs="Arial"/>
          <w:sz w:val="22"/>
          <w:lang w:val="fr-CA"/>
        </w:rPr>
      </w:pPr>
      <w:r w:rsidRPr="008B4D49">
        <w:rPr>
          <w:rFonts w:ascii="Arial" w:eastAsia="Arial" w:hAnsi="Arial" w:cs="Arial"/>
          <w:b/>
          <w:sz w:val="22"/>
          <w:lang w:val="fr-CA"/>
        </w:rPr>
        <w:t>Résolution des problèmes d'identité et d'expression de genre</w:t>
      </w:r>
    </w:p>
    <w:p w14:paraId="11AECD70" w14:textId="77777777" w:rsidR="00DF6E06" w:rsidRPr="008B4D49" w:rsidRDefault="00DF6E06">
      <w:pPr>
        <w:ind w:left="0" w:hanging="2"/>
        <w:jc w:val="both"/>
        <w:rPr>
          <w:rFonts w:ascii="Arial" w:eastAsia="Arial" w:hAnsi="Arial" w:cs="Arial"/>
          <w:sz w:val="22"/>
          <w:lang w:val="fr-CA"/>
        </w:rPr>
      </w:pPr>
    </w:p>
    <w:p w14:paraId="7A0C08B7" w14:textId="0E93A168" w:rsidR="00DF6E06" w:rsidRPr="00556B4F" w:rsidRDefault="00962DE2">
      <w:pPr>
        <w:numPr>
          <w:ilvl w:val="0"/>
          <w:numId w:val="5"/>
        </w:numPr>
        <w:ind w:left="0" w:hanging="2"/>
        <w:jc w:val="both"/>
        <w:rPr>
          <w:rFonts w:ascii="Arial" w:eastAsia="Arial" w:hAnsi="Arial" w:cs="Arial"/>
          <w:sz w:val="22"/>
          <w:lang w:val="fr-CA"/>
        </w:rPr>
      </w:pPr>
      <w:r w:rsidRPr="008B4D49">
        <w:rPr>
          <w:rFonts w:ascii="Arial" w:eastAsia="Arial" w:hAnsi="Arial" w:cs="Arial"/>
          <w:sz w:val="22"/>
          <w:lang w:val="fr-CA"/>
        </w:rPr>
        <w:t>Si une personne estime avoir été victime</w:t>
      </w:r>
      <w:r w:rsidR="00556B4F" w:rsidRPr="008B4D49">
        <w:rPr>
          <w:rFonts w:ascii="Arial" w:eastAsia="Arial" w:hAnsi="Arial" w:cs="Arial"/>
          <w:sz w:val="22"/>
          <w:lang w:val="fr-CA"/>
        </w:rPr>
        <w:t xml:space="preserve"> ou témoin</w:t>
      </w:r>
      <w:r w:rsidRPr="008B4D49">
        <w:rPr>
          <w:rFonts w:ascii="Arial" w:eastAsia="Arial" w:hAnsi="Arial" w:cs="Arial"/>
          <w:sz w:val="22"/>
          <w:lang w:val="fr-CA"/>
        </w:rPr>
        <w:t xml:space="preserve"> de discrimination, d'intimidation, d</w:t>
      </w:r>
      <w:r w:rsidR="00556B4F" w:rsidRPr="008B4D49">
        <w:rPr>
          <w:rFonts w:ascii="Arial" w:eastAsia="Arial" w:hAnsi="Arial" w:cs="Arial"/>
          <w:sz w:val="22"/>
          <w:lang w:val="fr-CA"/>
        </w:rPr>
        <w:t>’</w:t>
      </w:r>
      <w:r w:rsidRPr="008B4D49">
        <w:rPr>
          <w:rFonts w:ascii="Arial" w:eastAsia="Arial" w:hAnsi="Arial" w:cs="Arial"/>
          <w:sz w:val="22"/>
          <w:lang w:val="fr-CA"/>
        </w:rPr>
        <w:t>harcèlement, d</w:t>
      </w:r>
      <w:r w:rsidR="00556B4F" w:rsidRPr="008B4D49">
        <w:rPr>
          <w:rFonts w:ascii="Arial" w:eastAsia="Arial" w:hAnsi="Arial" w:cs="Arial"/>
          <w:sz w:val="22"/>
          <w:lang w:val="fr-CA"/>
        </w:rPr>
        <w:t>’</w:t>
      </w:r>
      <w:r w:rsidRPr="008B4D49">
        <w:rPr>
          <w:rFonts w:ascii="Arial" w:eastAsia="Arial" w:hAnsi="Arial" w:cs="Arial"/>
          <w:sz w:val="22"/>
          <w:lang w:val="fr-CA"/>
        </w:rPr>
        <w:t>harcèlement sexuel, de diffamation ou de victimisation fond</w:t>
      </w:r>
      <w:r w:rsidRPr="00556B4F">
        <w:rPr>
          <w:rFonts w:ascii="Arial" w:eastAsia="Arial" w:hAnsi="Arial" w:cs="Arial"/>
          <w:sz w:val="22"/>
          <w:lang w:val="fr-CA"/>
        </w:rPr>
        <w:t xml:space="preserve">ée sur l'identité ou l'expression de genre, elle devrait prendre les mesures appropriées par le biais de la Politique sur la discipline et </w:t>
      </w:r>
      <w:r w:rsidR="00556B4F" w:rsidRPr="00556B4F">
        <w:rPr>
          <w:rFonts w:ascii="Arial" w:eastAsia="Arial" w:hAnsi="Arial" w:cs="Arial"/>
          <w:sz w:val="22"/>
          <w:lang w:val="fr-CA"/>
        </w:rPr>
        <w:t>l</w:t>
      </w:r>
      <w:r w:rsidR="00556B4F">
        <w:rPr>
          <w:rFonts w:ascii="Arial" w:eastAsia="Arial" w:hAnsi="Arial" w:cs="Arial"/>
          <w:sz w:val="22"/>
          <w:lang w:val="fr-CA"/>
        </w:rPr>
        <w:t>e</w:t>
      </w:r>
      <w:r w:rsidR="00556B4F" w:rsidRPr="00556B4F">
        <w:rPr>
          <w:rFonts w:ascii="Arial" w:eastAsia="Arial" w:hAnsi="Arial" w:cs="Arial"/>
          <w:sz w:val="22"/>
          <w:lang w:val="fr-CA"/>
        </w:rPr>
        <w:t xml:space="preserve"> harcèlement</w:t>
      </w:r>
      <w:r w:rsidRPr="00556B4F">
        <w:rPr>
          <w:rFonts w:ascii="Arial" w:eastAsia="Arial" w:hAnsi="Arial" w:cs="Arial"/>
          <w:sz w:val="22"/>
          <w:lang w:val="fr-CA"/>
        </w:rPr>
        <w:t xml:space="preserve"> de Softball Canada. Si la personne ne se sent pas en sécurité en le faisant, elle devrait demander l'aide du PDG de Softball Canada pour obtenir des conseils et du soutien, ou prendre des mesures en son nom.</w:t>
      </w:r>
    </w:p>
    <w:p w14:paraId="76607A36" w14:textId="77777777" w:rsidR="00DF6E06" w:rsidRPr="00556B4F" w:rsidRDefault="00DF6E06">
      <w:pPr>
        <w:pBdr>
          <w:top w:val="nil"/>
          <w:left w:val="nil"/>
          <w:bottom w:val="nil"/>
          <w:right w:val="nil"/>
          <w:between w:val="nil"/>
        </w:pBdr>
        <w:spacing w:line="240" w:lineRule="auto"/>
        <w:ind w:left="0" w:hanging="2"/>
        <w:rPr>
          <w:rFonts w:ascii="Arial" w:eastAsia="Arial" w:hAnsi="Arial" w:cs="Arial"/>
          <w:sz w:val="22"/>
          <w:lang w:val="fr-CA"/>
        </w:rPr>
      </w:pPr>
    </w:p>
    <w:p w14:paraId="6E3D592F" w14:textId="77777777" w:rsidR="00DF6E06" w:rsidRPr="00556B4F" w:rsidRDefault="00962DE2">
      <w:pPr>
        <w:ind w:left="0" w:hanging="2"/>
        <w:jc w:val="both"/>
        <w:rPr>
          <w:rFonts w:ascii="Arial" w:eastAsia="Arial" w:hAnsi="Arial" w:cs="Arial"/>
          <w:sz w:val="22"/>
          <w:lang w:val="fr-CA"/>
        </w:rPr>
      </w:pPr>
      <w:r w:rsidRPr="00556B4F">
        <w:rPr>
          <w:rFonts w:ascii="Arial" w:eastAsia="Arial" w:hAnsi="Arial" w:cs="Arial"/>
          <w:b/>
          <w:sz w:val="22"/>
          <w:lang w:val="fr-CA"/>
        </w:rPr>
        <w:t>Appel</w:t>
      </w:r>
    </w:p>
    <w:p w14:paraId="42934BBF" w14:textId="53E399F0" w:rsidR="00DF6E06" w:rsidRPr="00556B4F" w:rsidRDefault="00962DE2">
      <w:pPr>
        <w:numPr>
          <w:ilvl w:val="0"/>
          <w:numId w:val="5"/>
        </w:numPr>
        <w:ind w:left="0" w:hanging="2"/>
        <w:jc w:val="both"/>
        <w:rPr>
          <w:rFonts w:ascii="Arial" w:eastAsia="Arial" w:hAnsi="Arial" w:cs="Arial"/>
          <w:sz w:val="22"/>
          <w:lang w:val="fr-CA"/>
        </w:rPr>
      </w:pPr>
      <w:r w:rsidRPr="00556B4F">
        <w:rPr>
          <w:rFonts w:ascii="Arial" w:eastAsia="Arial" w:hAnsi="Arial" w:cs="Arial"/>
          <w:sz w:val="22"/>
          <w:lang w:val="fr-CA"/>
        </w:rPr>
        <w:t xml:space="preserve">Toute décision rendue par l'Association conformément à </w:t>
      </w:r>
      <w:r w:rsidR="00556B4F" w:rsidRPr="008B4D49">
        <w:rPr>
          <w:rFonts w:ascii="Arial" w:eastAsia="Arial" w:hAnsi="Arial" w:cs="Arial"/>
          <w:sz w:val="22"/>
          <w:lang w:val="fr-CA"/>
        </w:rPr>
        <w:t>cette</w:t>
      </w:r>
      <w:r w:rsidRPr="00556B4F">
        <w:rPr>
          <w:rFonts w:ascii="Arial" w:eastAsia="Arial" w:hAnsi="Arial" w:cs="Arial"/>
          <w:color w:val="FF0000"/>
          <w:sz w:val="22"/>
          <w:lang w:val="fr-CA"/>
        </w:rPr>
        <w:t xml:space="preserve"> </w:t>
      </w:r>
      <w:r w:rsidRPr="00556B4F">
        <w:rPr>
          <w:rFonts w:ascii="Arial" w:eastAsia="Arial" w:hAnsi="Arial" w:cs="Arial"/>
          <w:i/>
          <w:sz w:val="22"/>
          <w:lang w:val="fr-CA"/>
        </w:rPr>
        <w:t>politique</w:t>
      </w:r>
      <w:r w:rsidRPr="00556B4F">
        <w:rPr>
          <w:rFonts w:ascii="Arial" w:eastAsia="Arial" w:hAnsi="Arial" w:cs="Arial"/>
          <w:sz w:val="22"/>
          <w:lang w:val="fr-CA"/>
        </w:rPr>
        <w:t xml:space="preserve"> peut faire l'objet d'un appel conformément à la politique d'appel de l'Association. </w:t>
      </w:r>
    </w:p>
    <w:sectPr w:rsidR="00DF6E06" w:rsidRPr="00556B4F">
      <w:headerReference w:type="default" r:id="rId8"/>
      <w:foot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52B44" w14:textId="77777777" w:rsidR="00DC3406" w:rsidRDefault="00DC3406">
      <w:pPr>
        <w:spacing w:line="240" w:lineRule="auto"/>
        <w:ind w:left="0" w:hanging="2"/>
      </w:pPr>
      <w:r>
        <w:separator/>
      </w:r>
    </w:p>
  </w:endnote>
  <w:endnote w:type="continuationSeparator" w:id="0">
    <w:p w14:paraId="78DD07E5" w14:textId="77777777" w:rsidR="00DC3406" w:rsidRDefault="00DC340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877B7F9-565E-FB4D-A315-52F6AD69AB74}"/>
    <w:embedBold r:id="rId2" w:fontKey="{AFC1A1C4-EA87-6140-B51D-4E454A64B756}"/>
    <w:embedItalic r:id="rId3" w:fontKey="{C015CE85-E328-6A4C-A293-485AF784E8BA}"/>
    <w:embedBoldItalic r:id="rId4" w:fontKey="{C20EE01D-5BB1-ED4A-B92F-F7F9FAE1F00A}"/>
  </w:font>
  <w:font w:name="Arial Narrow">
    <w:panose1 w:val="020B0606020202030204"/>
    <w:charset w:val="00"/>
    <w:family w:val="swiss"/>
    <w:pitch w:val="variable"/>
    <w:sig w:usb0="00000287" w:usb1="00000800" w:usb2="00000000" w:usb3="00000000" w:csb0="0000009F" w:csb1="00000000"/>
    <w:embedRegular r:id="rId5" w:fontKey="{C4A4D001-6756-704E-B991-8934F4484811}"/>
    <w:embedBold r:id="rId6" w:fontKey="{DA3E93B8-2838-D346-BAAC-CE617F61AF76}"/>
    <w:embedItalic r:id="rId7" w:fontKey="{20EE6BEB-738F-AD42-86F7-B0C73B82B478}"/>
    <w:embedBoldItalic r:id="rId8" w:fontKey="{BC2C30FE-815F-8E4D-B5F9-1E88F25149DE}"/>
  </w:font>
  <w:font w:name="Cambria">
    <w:panose1 w:val="02040503050406030204"/>
    <w:charset w:val="00"/>
    <w:family w:val="roman"/>
    <w:pitch w:val="variable"/>
    <w:sig w:usb0="E00002FF" w:usb1="400004FF" w:usb2="00000000" w:usb3="00000000" w:csb0="0000019F" w:csb1="00000000"/>
    <w:embedRegular r:id="rId9" w:fontKey="{5D4E5B9D-02F7-624A-BCD9-768FC72DA26D}"/>
    <w:embedBold r:id="rId10" w:fontKey="{FDF0A386-4F6E-FA48-82F9-D32329334A1D}"/>
    <w:embedItalic r:id="rId11" w:fontKey="{650BFF20-C67D-044A-81BC-EE9AB6245775}"/>
    <w:embedBoldItalic r:id="rId12" w:fontKey="{44083FCB-E7F7-2946-A5F5-E4DD51265794}"/>
  </w:font>
  <w:font w:name="Calibri">
    <w:panose1 w:val="020F0502020204030204"/>
    <w:charset w:val="00"/>
    <w:family w:val="swiss"/>
    <w:pitch w:val="variable"/>
    <w:sig w:usb0="E0002AFF" w:usb1="C000247B" w:usb2="00000009" w:usb3="00000000" w:csb0="000001FF" w:csb1="00000000"/>
    <w:embedRegular r:id="rId13" w:fontKey="{595CBDE1-0C8F-A24F-A911-54024496FF77}"/>
  </w:font>
  <w:font w:name="Arial">
    <w:panose1 w:val="020B0604020202020204"/>
    <w:charset w:val="00"/>
    <w:family w:val="swiss"/>
    <w:pitch w:val="variable"/>
    <w:sig w:usb0="E0002AFF" w:usb1="C0007843" w:usb2="00000009" w:usb3="00000000" w:csb0="000001FF" w:csb1="00000000"/>
    <w:embedRegular r:id="rId14" w:fontKey="{46206202-ED8A-3947-AC01-872BB30DE813}"/>
    <w:embedBold r:id="rId15" w:fontKey="{71732FF2-1786-A947-BE0F-246C93B70AEA}"/>
    <w:embedItalic r:id="rId16" w:fontKey="{E615BF06-76E1-3047-B172-F1362C6C3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D933" w14:textId="77777777" w:rsidR="00DF6E06" w:rsidRDefault="00962DE2">
    <w:pPr>
      <w:pBdr>
        <w:top w:val="nil"/>
        <w:left w:val="nil"/>
        <w:bottom w:val="nil"/>
        <w:right w:val="nil"/>
        <w:between w:val="nil"/>
      </w:pBdr>
      <w:tabs>
        <w:tab w:val="center" w:pos="4680"/>
        <w:tab w:val="right" w:pos="9360"/>
      </w:tabs>
      <w:spacing w:line="240" w:lineRule="auto"/>
      <w:ind w:left="0" w:hanging="2"/>
    </w:pPr>
    <w:r>
      <w:rPr>
        <w:noProof/>
      </w:rPr>
      <w:drawing>
        <wp:anchor distT="114300" distB="114300" distL="114300" distR="114300" simplePos="0" relativeHeight="251660288" behindDoc="0" locked="0" layoutInCell="1" hidden="0" allowOverlap="1" wp14:anchorId="11FFB9EC" wp14:editId="1A8C4DEE">
          <wp:simplePos x="0" y="0"/>
          <wp:positionH relativeFrom="column">
            <wp:posOffset>-714374</wp:posOffset>
          </wp:positionH>
          <wp:positionV relativeFrom="paragraph">
            <wp:posOffset>134094</wp:posOffset>
          </wp:positionV>
          <wp:extent cx="7829550" cy="105397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2136"/>
                  <a:stretch>
                    <a:fillRect/>
                  </a:stretch>
                </pic:blipFill>
                <pic:spPr>
                  <a:xfrm>
                    <a:off x="0" y="0"/>
                    <a:ext cx="7829550" cy="1053978"/>
                  </a:xfrm>
                  <a:prstGeom prst="rect">
                    <a:avLst/>
                  </a:prstGeom>
                  <a:ln/>
                </pic:spPr>
              </pic:pic>
            </a:graphicData>
          </a:graphic>
        </wp:anchor>
      </w:drawing>
    </w:r>
  </w:p>
  <w:p w14:paraId="0D4E7251" w14:textId="77777777" w:rsidR="00DF6E06" w:rsidRDefault="00DF6E06">
    <w:pPr>
      <w:pBdr>
        <w:top w:val="nil"/>
        <w:left w:val="nil"/>
        <w:bottom w:val="nil"/>
        <w:right w:val="nil"/>
        <w:between w:val="nil"/>
      </w:pBdr>
      <w:tabs>
        <w:tab w:val="center" w:pos="4680"/>
        <w:tab w:val="right" w:pos="9360"/>
      </w:tabs>
      <w:spacing w:line="240" w:lineRule="auto"/>
      <w:ind w:left="0" w:hanging="2"/>
    </w:pPr>
  </w:p>
  <w:p w14:paraId="15843969" w14:textId="77777777" w:rsidR="00DF6E06" w:rsidRDefault="00DF6E06">
    <w:pPr>
      <w:pBdr>
        <w:top w:val="nil"/>
        <w:left w:val="nil"/>
        <w:bottom w:val="nil"/>
        <w:right w:val="nil"/>
        <w:between w:val="nil"/>
      </w:pBdr>
      <w:tabs>
        <w:tab w:val="center" w:pos="4680"/>
        <w:tab w:val="right" w:pos="9360"/>
      </w:tabs>
      <w:spacing w:line="240" w:lineRule="auto"/>
      <w:ind w:left="0" w:hanging="2"/>
    </w:pPr>
  </w:p>
  <w:p w14:paraId="0C9B3C87" w14:textId="77777777" w:rsidR="00DF6E06" w:rsidRDefault="00DF6E06">
    <w:pPr>
      <w:pBdr>
        <w:top w:val="nil"/>
        <w:left w:val="nil"/>
        <w:bottom w:val="nil"/>
        <w:right w:val="nil"/>
        <w:between w:val="nil"/>
      </w:pBdr>
      <w:tabs>
        <w:tab w:val="center" w:pos="4680"/>
        <w:tab w:val="right" w:pos="9360"/>
      </w:tabs>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B8582" w14:textId="77777777" w:rsidR="00DC3406" w:rsidRDefault="00DC3406">
      <w:pPr>
        <w:spacing w:line="240" w:lineRule="auto"/>
        <w:ind w:left="0" w:hanging="2"/>
      </w:pPr>
      <w:r>
        <w:separator/>
      </w:r>
    </w:p>
  </w:footnote>
  <w:footnote w:type="continuationSeparator" w:id="0">
    <w:p w14:paraId="76908EC3" w14:textId="77777777" w:rsidR="00DC3406" w:rsidRDefault="00DC340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7591" w14:textId="77777777" w:rsidR="00DF6E06" w:rsidRDefault="00962DE2">
    <w:pPr>
      <w:ind w:left="0" w:hanging="2"/>
    </w:pPr>
    <w:r>
      <w:rPr>
        <w:noProof/>
      </w:rPr>
      <w:drawing>
        <wp:anchor distT="114300" distB="114300" distL="114300" distR="114300" simplePos="0" relativeHeight="251658240" behindDoc="0" locked="0" layoutInCell="1" hidden="0" allowOverlap="1" wp14:anchorId="08F61B64" wp14:editId="64858C37">
          <wp:simplePos x="0" y="0"/>
          <wp:positionH relativeFrom="page">
            <wp:posOffset>-28574</wp:posOffset>
          </wp:positionH>
          <wp:positionV relativeFrom="page">
            <wp:posOffset>4167</wp:posOffset>
          </wp:positionV>
          <wp:extent cx="7825740" cy="112871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80769"/>
                  <a:stretch>
                    <a:fillRect/>
                  </a:stretch>
                </pic:blipFill>
                <pic:spPr>
                  <a:xfrm>
                    <a:off x="0" y="0"/>
                    <a:ext cx="7825740" cy="1128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260FF5B" wp14:editId="0E313D0C">
          <wp:simplePos x="0" y="0"/>
          <wp:positionH relativeFrom="column">
            <wp:posOffset>400050</wp:posOffset>
          </wp:positionH>
          <wp:positionV relativeFrom="paragraph">
            <wp:posOffset>-85724</wp:posOffset>
          </wp:positionV>
          <wp:extent cx="934403" cy="934403"/>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34403" cy="93440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4082"/>
    <w:multiLevelType w:val="multilevel"/>
    <w:tmpl w:val="102CA3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4244A74"/>
    <w:multiLevelType w:val="multilevel"/>
    <w:tmpl w:val="F05A674E"/>
    <w:lvl w:ilvl="0">
      <w:start w:val="1"/>
      <w:numFmt w:val="lowerLetter"/>
      <w:lvlText w:val="%1."/>
      <w:lvlJc w:val="left"/>
      <w:pPr>
        <w:ind w:left="720" w:hanging="360"/>
      </w:pPr>
      <w:rPr>
        <w:b w:val="0"/>
        <w:vertAlign w:val="baseline"/>
      </w:rPr>
    </w:lvl>
    <w:lvl w:ilvl="1">
      <w:start w:val="1"/>
      <w:numFmt w:val="lowerRoman"/>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8663732"/>
    <w:multiLevelType w:val="multilevel"/>
    <w:tmpl w:val="5E58F160"/>
    <w:lvl w:ilvl="0">
      <w:start w:val="1"/>
      <w:numFmt w:val="decimal"/>
      <w:lvlText w:val="%1."/>
      <w:lvlJc w:val="left"/>
      <w:pPr>
        <w:ind w:left="360" w:hanging="360"/>
      </w:pPr>
      <w:rPr>
        <w:b w:val="0"/>
        <w:color w:val="000000"/>
        <w:vertAlign w:val="baseline"/>
      </w:rPr>
    </w:lvl>
    <w:lvl w:ilvl="1">
      <w:start w:val="1"/>
      <w:numFmt w:val="lowerLetter"/>
      <w:lvlText w:val="%2)"/>
      <w:lvlJc w:val="left"/>
      <w:pPr>
        <w:ind w:left="720" w:hanging="360"/>
      </w:pPr>
      <w:rPr>
        <w:b w:val="0"/>
        <w:vertAlign w:val="baseline"/>
      </w:rPr>
    </w:lvl>
    <w:lvl w:ilvl="2">
      <w:start w:val="1"/>
      <w:numFmt w:val="lowerRoman"/>
      <w:lvlText w:val="%3."/>
      <w:lvlJc w:val="left"/>
      <w:pPr>
        <w:ind w:left="900" w:hanging="180"/>
      </w:pPr>
      <w:rPr>
        <w:vertAlign w:val="baseline"/>
      </w:rPr>
    </w:lvl>
    <w:lvl w:ilvl="3">
      <w:start w:val="1"/>
      <w:numFmt w:val="lowerLetter"/>
      <w:lvlText w:val="%4)"/>
      <w:lvlJc w:val="left"/>
      <w:pPr>
        <w:ind w:left="644" w:hanging="359"/>
      </w:pPr>
      <w:rPr>
        <w:rFonts w:ascii="Arial Narrow" w:eastAsia="Arial Narrow" w:hAnsi="Arial Narrow" w:cs="Arial Narrow"/>
        <w:b w:val="0"/>
        <w:color w:val="000000"/>
        <w:vertAlign w:val="baseline"/>
      </w:rPr>
    </w:lvl>
    <w:lvl w:ilvl="4">
      <w:start w:val="1"/>
      <w:numFmt w:val="lowerRoman"/>
      <w:lvlText w:val="%5."/>
      <w:lvlJc w:val="left"/>
      <w:pPr>
        <w:ind w:left="1440" w:hanging="720"/>
      </w:pPr>
      <w:rPr>
        <w:b w:val="0"/>
        <w:i w:val="0"/>
        <w:strike w:val="0"/>
        <w:color w:val="000000"/>
        <w:sz w:val="20"/>
        <w:szCs w:val="20"/>
        <w:u w:val="none"/>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4C3A17B4"/>
    <w:multiLevelType w:val="multilevel"/>
    <w:tmpl w:val="0D6E8548"/>
    <w:lvl w:ilvl="0">
      <w:start w:val="1"/>
      <w:numFmt w:val="lowerRoman"/>
      <w:lvlText w:val="%1."/>
      <w:lvlJc w:val="left"/>
      <w:pPr>
        <w:ind w:left="1859" w:hanging="360"/>
      </w:pPr>
      <w:rPr>
        <w:b w:val="0"/>
        <w:i w:val="0"/>
        <w:strike w:val="0"/>
        <w:color w:val="000000"/>
        <w:sz w:val="20"/>
        <w:szCs w:val="20"/>
        <w:u w:val="none"/>
        <w:vertAlign w:val="baseline"/>
      </w:rPr>
    </w:lvl>
    <w:lvl w:ilvl="1">
      <w:start w:val="1"/>
      <w:numFmt w:val="lowerRoman"/>
      <w:lvlText w:val="%2."/>
      <w:lvlJc w:val="left"/>
      <w:pPr>
        <w:ind w:left="1080" w:hanging="360"/>
      </w:pPr>
      <w:rPr>
        <w:color w:val="000000"/>
        <w:vertAlign w:val="baseline"/>
      </w:rPr>
    </w:lvl>
    <w:lvl w:ilvl="2">
      <w:start w:val="1"/>
      <w:numFmt w:val="lowerRoman"/>
      <w:lvlText w:val="%3."/>
      <w:lvlJc w:val="right"/>
      <w:pPr>
        <w:ind w:left="3299" w:hanging="180"/>
      </w:pPr>
      <w:rPr>
        <w:vertAlign w:val="baseline"/>
      </w:rPr>
    </w:lvl>
    <w:lvl w:ilvl="3">
      <w:start w:val="1"/>
      <w:numFmt w:val="decimal"/>
      <w:lvlText w:val="%4."/>
      <w:lvlJc w:val="left"/>
      <w:pPr>
        <w:ind w:left="4019" w:hanging="360"/>
      </w:pPr>
      <w:rPr>
        <w:vertAlign w:val="baseline"/>
      </w:rPr>
    </w:lvl>
    <w:lvl w:ilvl="4">
      <w:start w:val="1"/>
      <w:numFmt w:val="lowerLetter"/>
      <w:lvlText w:val="%5."/>
      <w:lvlJc w:val="left"/>
      <w:pPr>
        <w:ind w:left="4739" w:hanging="360"/>
      </w:pPr>
      <w:rPr>
        <w:vertAlign w:val="baseline"/>
      </w:rPr>
    </w:lvl>
    <w:lvl w:ilvl="5">
      <w:start w:val="1"/>
      <w:numFmt w:val="lowerRoman"/>
      <w:lvlText w:val="%6."/>
      <w:lvlJc w:val="right"/>
      <w:pPr>
        <w:ind w:left="5459" w:hanging="180"/>
      </w:pPr>
      <w:rPr>
        <w:vertAlign w:val="baseline"/>
      </w:rPr>
    </w:lvl>
    <w:lvl w:ilvl="6">
      <w:start w:val="1"/>
      <w:numFmt w:val="decimal"/>
      <w:lvlText w:val="%7."/>
      <w:lvlJc w:val="left"/>
      <w:pPr>
        <w:ind w:left="6179" w:hanging="360"/>
      </w:pPr>
      <w:rPr>
        <w:vertAlign w:val="baseline"/>
      </w:rPr>
    </w:lvl>
    <w:lvl w:ilvl="7">
      <w:start w:val="1"/>
      <w:numFmt w:val="lowerLetter"/>
      <w:lvlText w:val="%8."/>
      <w:lvlJc w:val="left"/>
      <w:pPr>
        <w:ind w:left="6899" w:hanging="360"/>
      </w:pPr>
      <w:rPr>
        <w:vertAlign w:val="baseline"/>
      </w:rPr>
    </w:lvl>
    <w:lvl w:ilvl="8">
      <w:start w:val="1"/>
      <w:numFmt w:val="lowerRoman"/>
      <w:lvlText w:val="%9."/>
      <w:lvlJc w:val="right"/>
      <w:pPr>
        <w:ind w:left="7619" w:hanging="180"/>
      </w:pPr>
      <w:rPr>
        <w:vertAlign w:val="baseline"/>
      </w:rPr>
    </w:lvl>
  </w:abstractNum>
  <w:abstractNum w:abstractNumId="4" w15:restartNumberingAfterBreak="0">
    <w:nsid w:val="5CF86B34"/>
    <w:multiLevelType w:val="multilevel"/>
    <w:tmpl w:val="0EF4FB7E"/>
    <w:lvl w:ilvl="0">
      <w:start w:val="1"/>
      <w:numFmt w:val="lowerLetter"/>
      <w:lvlText w:val="%1."/>
      <w:lvlJc w:val="left"/>
      <w:pPr>
        <w:ind w:left="724" w:hanging="360"/>
      </w:pPr>
      <w:rPr>
        <w:vertAlign w:val="baseline"/>
      </w:rPr>
    </w:lvl>
    <w:lvl w:ilvl="1">
      <w:start w:val="1"/>
      <w:numFmt w:val="lowerLetter"/>
      <w:lvlText w:val="%2."/>
      <w:lvlJc w:val="left"/>
      <w:pPr>
        <w:ind w:left="1444" w:hanging="360"/>
      </w:pPr>
      <w:rPr>
        <w:vertAlign w:val="baseline"/>
      </w:rPr>
    </w:lvl>
    <w:lvl w:ilvl="2">
      <w:start w:val="1"/>
      <w:numFmt w:val="lowerRoman"/>
      <w:lvlText w:val="%3."/>
      <w:lvlJc w:val="right"/>
      <w:pPr>
        <w:ind w:left="2164" w:hanging="180"/>
      </w:pPr>
      <w:rPr>
        <w:vertAlign w:val="baseline"/>
      </w:rPr>
    </w:lvl>
    <w:lvl w:ilvl="3">
      <w:start w:val="1"/>
      <w:numFmt w:val="decimal"/>
      <w:lvlText w:val="%4."/>
      <w:lvlJc w:val="left"/>
      <w:pPr>
        <w:ind w:left="2884" w:hanging="360"/>
      </w:pPr>
      <w:rPr>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num w:numId="1" w16cid:durableId="2007897407">
    <w:abstractNumId w:val="4"/>
  </w:num>
  <w:num w:numId="2" w16cid:durableId="1231771530">
    <w:abstractNumId w:val="1"/>
  </w:num>
  <w:num w:numId="3" w16cid:durableId="2049601336">
    <w:abstractNumId w:val="0"/>
  </w:num>
  <w:num w:numId="4" w16cid:durableId="1616912347">
    <w:abstractNumId w:val="3"/>
  </w:num>
  <w:num w:numId="5" w16cid:durableId="1436902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E06"/>
    <w:rsid w:val="005227AD"/>
    <w:rsid w:val="00556B4F"/>
    <w:rsid w:val="006873CF"/>
    <w:rsid w:val="008B4D49"/>
    <w:rsid w:val="00962DE2"/>
    <w:rsid w:val="00AD6115"/>
    <w:rsid w:val="00DC3406"/>
    <w:rsid w:val="00DF6E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C2604"/>
  <w15:docId w15:val="{593357E9-BA62-442C-B5D3-2A25CAB0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contextualSpacing/>
      <w:textDirection w:val="btLr"/>
      <w:textAlignment w:val="top"/>
      <w:outlineLvl w:val="0"/>
    </w:pPr>
    <w:rPr>
      <w:position w:val="-1"/>
      <w:szCs w:val="22"/>
      <w:lang w:eastAsia="en-US"/>
    </w:rPr>
  </w:style>
  <w:style w:type="paragraph" w:styleId="Heading1">
    <w:name w:val="heading 1"/>
    <w:basedOn w:val="Normal"/>
    <w:next w:val="Normal"/>
    <w:uiPriority w:val="9"/>
    <w:qFormat/>
    <w:pPr>
      <w:spacing w:before="480"/>
    </w:pPr>
    <w:rPr>
      <w:rFonts w:ascii="Cambria" w:eastAsia="Times New Roman" w:hAnsi="Cambria"/>
      <w:b/>
      <w:bCs/>
      <w:sz w:val="28"/>
      <w:szCs w:val="28"/>
    </w:rPr>
  </w:style>
  <w:style w:type="paragraph" w:styleId="Heading2">
    <w:name w:val="heading 2"/>
    <w:basedOn w:val="Normal"/>
    <w:next w:val="Normal"/>
    <w:uiPriority w:val="9"/>
    <w:semiHidden/>
    <w:unhideWhenUsed/>
    <w:qFormat/>
    <w:pPr>
      <w:spacing w:before="200"/>
      <w:outlineLvl w:val="1"/>
    </w:pPr>
    <w:rPr>
      <w:rFonts w:ascii="Cambria" w:eastAsia="Times New Roman" w:hAnsi="Cambria"/>
      <w:b/>
      <w:bCs/>
      <w:sz w:val="26"/>
      <w:szCs w:val="26"/>
    </w:rPr>
  </w:style>
  <w:style w:type="paragraph" w:styleId="Heading3">
    <w:name w:val="heading 3"/>
    <w:basedOn w:val="Normal"/>
    <w:next w:val="Normal"/>
    <w:uiPriority w:val="9"/>
    <w:semiHidden/>
    <w:unhideWhenUsed/>
    <w:qFormat/>
    <w:pPr>
      <w:spacing w:before="200" w:line="271" w:lineRule="auto"/>
      <w:outlineLvl w:val="2"/>
    </w:pPr>
    <w:rPr>
      <w:rFonts w:ascii="Cambria" w:eastAsia="Times New Roman" w:hAnsi="Cambria"/>
      <w:b/>
      <w:bCs/>
      <w:sz w:val="20"/>
      <w:szCs w:val="20"/>
    </w:rPr>
  </w:style>
  <w:style w:type="paragraph" w:styleId="Heading4">
    <w:name w:val="heading 4"/>
    <w:basedOn w:val="Normal"/>
    <w:next w:val="Normal"/>
    <w:uiPriority w:val="9"/>
    <w:semiHidden/>
    <w:unhideWhenUsed/>
    <w:qFormat/>
    <w:pPr>
      <w:spacing w:before="200"/>
      <w:outlineLvl w:val="3"/>
    </w:pPr>
    <w:rPr>
      <w:rFonts w:ascii="Cambria" w:eastAsia="Times New Roman" w:hAnsi="Cambria"/>
      <w:b/>
      <w:bCs/>
      <w:i/>
      <w:iCs/>
      <w:sz w:val="20"/>
      <w:szCs w:val="20"/>
    </w:rPr>
  </w:style>
  <w:style w:type="paragraph" w:styleId="Heading5">
    <w:name w:val="heading 5"/>
    <w:basedOn w:val="Normal"/>
    <w:next w:val="Normal"/>
    <w:uiPriority w:val="9"/>
    <w:semiHidden/>
    <w:unhideWhenUsed/>
    <w:qFormat/>
    <w:pPr>
      <w:spacing w:before="200"/>
      <w:outlineLvl w:val="4"/>
    </w:pPr>
    <w:rPr>
      <w:rFonts w:ascii="Cambria" w:eastAsia="Times New Roman" w:hAnsi="Cambria"/>
      <w:b/>
      <w:bCs/>
      <w:color w:val="7F7F7F"/>
      <w:sz w:val="20"/>
      <w:szCs w:val="20"/>
    </w:rPr>
  </w:style>
  <w:style w:type="paragraph" w:styleId="Heading6">
    <w:name w:val="heading 6"/>
    <w:basedOn w:val="Normal"/>
    <w:next w:val="Normal"/>
    <w:uiPriority w:val="9"/>
    <w:semiHidden/>
    <w:unhideWhenUsed/>
    <w:qFormat/>
    <w:pPr>
      <w:spacing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pPr>
      <w:outlineLvl w:val="6"/>
    </w:pPr>
    <w:rPr>
      <w:rFonts w:ascii="Cambria" w:eastAsia="Times New Roman" w:hAnsi="Cambria"/>
      <w:i/>
      <w:iCs/>
      <w:sz w:val="20"/>
      <w:szCs w:val="20"/>
    </w:rPr>
  </w:style>
  <w:style w:type="paragraph" w:styleId="Heading8">
    <w:name w:val="heading 8"/>
    <w:basedOn w:val="Normal"/>
    <w:next w:val="Normal"/>
    <w:pPr>
      <w:outlineLvl w:val="7"/>
    </w:pPr>
    <w:rPr>
      <w:rFonts w:ascii="Cambria" w:eastAsia="Times New Roman" w:hAnsi="Cambria"/>
      <w:sz w:val="20"/>
      <w:szCs w:val="20"/>
    </w:rPr>
  </w:style>
  <w:style w:type="paragraph" w:styleId="Heading9">
    <w:name w:val="heading 9"/>
    <w:basedOn w:val="Normal"/>
    <w:next w:val="Normal"/>
    <w:pPr>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auto"/>
      </w:pBdr>
    </w:pPr>
    <w:rPr>
      <w:rFonts w:ascii="Cambria" w:eastAsia="Times New Roman" w:hAnsi="Cambria"/>
      <w:spacing w:val="5"/>
      <w:sz w:val="52"/>
      <w:szCs w:val="52"/>
    </w:rPr>
  </w:style>
  <w:style w:type="character" w:customStyle="1" w:styleId="Heading1Char">
    <w:name w:val="Heading 1 Char"/>
    <w:rPr>
      <w:rFonts w:ascii="Cambria" w:eastAsia="Times New Roman" w:hAnsi="Cambria" w:cs="Times New Roman"/>
      <w:b/>
      <w:bCs/>
      <w:w w:val="100"/>
      <w:position w:val="-1"/>
      <w:sz w:val="28"/>
      <w:szCs w:val="28"/>
      <w:effect w:val="none"/>
      <w:vertAlign w:val="baseline"/>
      <w:cs w:val="0"/>
      <w:em w:val="none"/>
    </w:rPr>
  </w:style>
  <w:style w:type="character" w:customStyle="1" w:styleId="Heading2Char">
    <w:name w:val="Heading 2 Char"/>
    <w:rPr>
      <w:rFonts w:ascii="Cambria" w:eastAsia="Times New Roman" w:hAnsi="Cambria" w:cs="Times New Roman"/>
      <w:b/>
      <w:bCs/>
      <w:w w:val="100"/>
      <w:position w:val="-1"/>
      <w:sz w:val="26"/>
      <w:szCs w:val="26"/>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effect w:val="none"/>
      <w:vertAlign w:val="baseline"/>
      <w:cs w:val="0"/>
      <w:em w:val="none"/>
    </w:rPr>
  </w:style>
  <w:style w:type="character" w:customStyle="1" w:styleId="Heading4Char">
    <w:name w:val="Heading 4 Char"/>
    <w:rPr>
      <w:rFonts w:ascii="Cambria" w:eastAsia="Times New Roman" w:hAnsi="Cambria" w:cs="Times New Roman"/>
      <w:b/>
      <w:bCs/>
      <w:i/>
      <w:iCs/>
      <w:w w:val="100"/>
      <w:position w:val="-1"/>
      <w:effect w:val="none"/>
      <w:vertAlign w:val="baseline"/>
      <w:cs w:val="0"/>
      <w:em w:val="none"/>
    </w:rPr>
  </w:style>
  <w:style w:type="character" w:customStyle="1" w:styleId="Heading5Char">
    <w:name w:val="Heading 5 Char"/>
    <w:rPr>
      <w:rFonts w:ascii="Cambria" w:eastAsia="Times New Roman" w:hAnsi="Cambria" w:cs="Times New Roman"/>
      <w:b/>
      <w:bCs/>
      <w:color w:val="7F7F7F"/>
      <w:w w:val="100"/>
      <w:position w:val="-1"/>
      <w:effect w:val="none"/>
      <w:vertAlign w:val="baseline"/>
      <w:cs w:val="0"/>
      <w:em w:val="none"/>
    </w:rPr>
  </w:style>
  <w:style w:type="character" w:customStyle="1" w:styleId="Heading6Char">
    <w:name w:val="Heading 6 Char"/>
    <w:rPr>
      <w:rFonts w:ascii="Cambria" w:eastAsia="Times New Roman" w:hAnsi="Cambria" w:cs="Times New Roman"/>
      <w:b/>
      <w:bCs/>
      <w:i/>
      <w:iCs/>
      <w:color w:val="7F7F7F"/>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w w:val="100"/>
      <w:position w:val="-1"/>
      <w:effect w:val="none"/>
      <w:vertAlign w:val="baseline"/>
      <w:cs w:val="0"/>
      <w:em w:val="none"/>
    </w:rPr>
  </w:style>
  <w:style w:type="character" w:customStyle="1" w:styleId="Heading8Char">
    <w:name w:val="Heading 8 Char"/>
    <w:rPr>
      <w:rFonts w:ascii="Cambria" w:eastAsia="Times New Roman" w:hAnsi="Cambria" w:cs="Times New Roman"/>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spacing w:val="5"/>
      <w:w w:val="100"/>
      <w:position w:val="-1"/>
      <w:sz w:val="20"/>
      <w:szCs w:val="20"/>
      <w:effect w:val="none"/>
      <w:vertAlign w:val="baseline"/>
      <w:cs w:val="0"/>
      <w:em w:val="none"/>
    </w:rPr>
  </w:style>
  <w:style w:type="character" w:customStyle="1" w:styleId="TitleChar">
    <w:name w:val="Title Char"/>
    <w:rPr>
      <w:rFonts w:ascii="Cambria" w:eastAsia="Times New Roman" w:hAnsi="Cambria" w:cs="Times New Roman"/>
      <w:spacing w:val="5"/>
      <w:w w:val="100"/>
      <w:position w:val="-1"/>
      <w:sz w:val="52"/>
      <w:szCs w:val="52"/>
      <w:effect w:val="none"/>
      <w:vertAlign w:val="baseline"/>
      <w:cs w:val="0"/>
      <w:em w:val="none"/>
    </w:rPr>
  </w:style>
  <w:style w:type="paragraph" w:styleId="Subtitle">
    <w:name w:val="Subtitle"/>
    <w:basedOn w:val="Normal"/>
    <w:next w:val="Normal"/>
    <w:uiPriority w:val="11"/>
    <w:qFormat/>
    <w:pPr>
      <w:spacing w:after="600"/>
    </w:pPr>
    <w:rPr>
      <w:rFonts w:ascii="Cambria" w:eastAsia="Cambria" w:hAnsi="Cambria" w:cs="Cambria"/>
      <w:i/>
      <w:szCs w:val="24"/>
    </w:rPr>
  </w:style>
  <w:style w:type="character" w:customStyle="1" w:styleId="SubtitleChar">
    <w:name w:val="Subtitle Char"/>
    <w:rPr>
      <w:rFonts w:ascii="Cambria" w:eastAsia="Times New Roman" w:hAnsi="Cambria" w:cs="Times New Roman"/>
      <w:i/>
      <w:iCs/>
      <w:spacing w:val="13"/>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b/>
      <w:bCs/>
      <w:i/>
      <w:iCs/>
      <w:spacing w:val="10"/>
      <w:w w:val="100"/>
      <w:position w:val="-1"/>
      <w:effect w:val="none"/>
      <w:bdr w:val="none" w:sz="0" w:space="0" w:color="auto"/>
      <w:shd w:val="clear" w:color="auto" w:fill="auto"/>
      <w:vertAlign w:val="baseline"/>
      <w:cs w:val="0"/>
      <w:em w:val="none"/>
    </w:rPr>
  </w:style>
  <w:style w:type="paragraph" w:customStyle="1" w:styleId="MediumGrid21">
    <w:name w:val="Medium Grid 21"/>
    <w:basedOn w:val="Normal"/>
  </w:style>
  <w:style w:type="paragraph" w:customStyle="1" w:styleId="ColorfulList-Accent11">
    <w:name w:val="Colorful List - Accent 11"/>
    <w:basedOn w:val="Normal"/>
    <w:pPr>
      <w:ind w:left="720"/>
    </w:pPr>
  </w:style>
  <w:style w:type="paragraph" w:customStyle="1" w:styleId="ColorfulGrid-Accent11">
    <w:name w:val="Colorful Grid - Accent 11"/>
    <w:basedOn w:val="Normal"/>
    <w:next w:val="Normal"/>
    <w:pPr>
      <w:spacing w:before="200"/>
      <w:ind w:left="360" w:right="360"/>
    </w:pPr>
    <w:rPr>
      <w:i/>
      <w:iCs/>
      <w:sz w:val="20"/>
      <w:szCs w:val="20"/>
    </w:rPr>
  </w:style>
  <w:style w:type="character" w:customStyle="1" w:styleId="ColorfulGrid-Accent1Char">
    <w:name w:val="Colorful Grid - Accent 1 Char"/>
    <w:rPr>
      <w:i/>
      <w:iCs/>
      <w:w w:val="100"/>
      <w:position w:val="-1"/>
      <w:effect w:val="none"/>
      <w:vertAlign w:val="baseline"/>
      <w:cs w:val="0"/>
      <w:em w:val="none"/>
    </w:rPr>
  </w:style>
  <w:style w:type="paragraph" w:customStyle="1" w:styleId="LightShading-Accent21">
    <w:name w:val="Light Shading - Accent 21"/>
    <w:basedOn w:val="Normal"/>
    <w:next w:val="Normal"/>
    <w:pPr>
      <w:pBdr>
        <w:bottom w:val="single" w:sz="4" w:space="1" w:color="auto"/>
      </w:pBdr>
      <w:spacing w:before="200" w:after="280"/>
      <w:ind w:left="1008" w:right="1152"/>
      <w:jc w:val="both"/>
    </w:pPr>
    <w:rPr>
      <w:b/>
      <w:bCs/>
      <w:i/>
      <w:iCs/>
      <w:sz w:val="20"/>
      <w:szCs w:val="20"/>
    </w:rPr>
  </w:style>
  <w:style w:type="character" w:customStyle="1" w:styleId="LightShading-Accent2Char">
    <w:name w:val="Light Shading - Accent 2 Char"/>
    <w:rPr>
      <w:b/>
      <w:bCs/>
      <w:i/>
      <w:iCs/>
      <w:w w:val="100"/>
      <w:position w:val="-1"/>
      <w:effect w:val="none"/>
      <w:vertAlign w:val="baseline"/>
      <w:cs w:val="0"/>
      <w:em w:val="none"/>
    </w:rPr>
  </w:style>
  <w:style w:type="character" w:styleId="SubtleEmphasis">
    <w:name w:val="Subtle Emphasis"/>
    <w:rPr>
      <w:i/>
      <w:iCs/>
      <w:w w:val="100"/>
      <w:position w:val="-1"/>
      <w:effect w:val="none"/>
      <w:vertAlign w:val="baseline"/>
      <w:cs w:val="0"/>
      <w:em w:val="none"/>
    </w:rPr>
  </w:style>
  <w:style w:type="character" w:styleId="IntenseEmphasis">
    <w:name w:val="Intense Emphasis"/>
    <w:rPr>
      <w:b/>
      <w:bCs/>
      <w:w w:val="100"/>
      <w:position w:val="-1"/>
      <w:effect w:val="none"/>
      <w:vertAlign w:val="baseline"/>
      <w:cs w:val="0"/>
      <w:em w:val="none"/>
    </w:rPr>
  </w:style>
  <w:style w:type="character" w:styleId="SubtleReference">
    <w:name w:val="Subtle Reference"/>
    <w:rPr>
      <w:smallCaps/>
      <w:w w:val="100"/>
      <w:position w:val="-1"/>
      <w:effect w:val="none"/>
      <w:vertAlign w:val="baseline"/>
      <w:cs w:val="0"/>
      <w:em w:val="none"/>
    </w:rPr>
  </w:style>
  <w:style w:type="character" w:styleId="IntenseReference">
    <w:name w:val="Intense Reference"/>
    <w:rPr>
      <w:smallCaps/>
      <w:spacing w:val="5"/>
      <w:w w:val="100"/>
      <w:position w:val="-1"/>
      <w:u w:val="single"/>
      <w:effect w:val="none"/>
      <w:vertAlign w:val="baseline"/>
      <w:cs w:val="0"/>
      <w:em w:val="none"/>
    </w:rPr>
  </w:style>
  <w:style w:type="character" w:styleId="BookTitle">
    <w:name w:val="Book Title"/>
    <w:rPr>
      <w:i/>
      <w:iCs/>
      <w:smallCaps/>
      <w:spacing w:val="5"/>
      <w:w w:val="100"/>
      <w:position w:val="-1"/>
      <w:effect w:val="none"/>
      <w:vertAlign w:val="baseline"/>
      <w:cs w:val="0"/>
      <w:em w:val="none"/>
    </w:rPr>
  </w:style>
  <w:style w:type="paragraph" w:styleId="TOCHeading">
    <w:name w:val="TOC Heading"/>
    <w:basedOn w:val="Heading1"/>
    <w:next w:val="Normal"/>
    <w:qFormat/>
    <w:pPr>
      <w:outlineLvl w:val="9"/>
    </w:pPr>
  </w:style>
  <w:style w:type="paragraph" w:styleId="BodyText">
    <w:name w:val="Body Text"/>
    <w:basedOn w:val="Normal"/>
    <w:rPr>
      <w:rFonts w:ascii="Times New Roman" w:eastAsia="Times New Roman" w:hAnsi="Times New Roman"/>
      <w:b/>
      <w:bCs/>
      <w:sz w:val="20"/>
      <w:szCs w:val="24"/>
    </w:rPr>
  </w:style>
  <w:style w:type="character" w:customStyle="1" w:styleId="BodyTextChar">
    <w:name w:val="Body Text Char"/>
    <w:rPr>
      <w:rFonts w:ascii="Times New Roman" w:eastAsia="Times New Roman" w:hAnsi="Times New Roman" w:cs="Times New Roman"/>
      <w:b/>
      <w:bCs/>
      <w:w w:val="100"/>
      <w:position w:val="-1"/>
      <w:szCs w:val="24"/>
      <w:effect w:val="none"/>
      <w:vertAlign w:val="baseline"/>
      <w:cs w:val="0"/>
      <w:em w:val="none"/>
      <w:lang w:bidi="ar-SA"/>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A0">
    <w:name w:val="A0"/>
    <w:rPr>
      <w:color w:val="69737A"/>
      <w:w w:val="100"/>
      <w:position w:val="-1"/>
      <w:sz w:val="20"/>
      <w:szCs w:val="20"/>
      <w:effect w:val="none"/>
      <w:vertAlign w:val="baseline"/>
      <w:cs w:val="0"/>
      <w:em w:val="none"/>
    </w:rPr>
  </w:style>
  <w:style w:type="character" w:customStyle="1" w:styleId="A1">
    <w:name w:val="A1"/>
    <w:rPr>
      <w:color w:val="69737A"/>
      <w:w w:val="100"/>
      <w:position w:val="-1"/>
      <w:sz w:val="11"/>
      <w:szCs w:val="1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2"/>
      <w:effect w:val="none"/>
      <w:vertAlign w:val="baseline"/>
      <w:cs w:val="0"/>
      <w:em w:val="none"/>
      <w:lang w:val="en-CA" w:bidi="en-US"/>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2"/>
      <w:effect w:val="none"/>
      <w:vertAlign w:val="baseline"/>
      <w:cs w:val="0"/>
      <w:em w:val="none"/>
      <w:lang w:val="en-CA" w:bidi="en-US"/>
    </w:rPr>
  </w:style>
  <w:style w:type="paragraph" w:styleId="ListParagraph">
    <w:name w:val="List Paragraph"/>
    <w:basedOn w:val="Normal"/>
    <w:pPr>
      <w:spacing w:after="160" w:line="256" w:lineRule="auto"/>
      <w:ind w:left="720"/>
    </w:pPr>
    <w:rPr>
      <w:rFonts w:ascii="Calibri" w:eastAsia="Calibri" w:hAnsi="Calibri" w:cs="Times New Roman"/>
      <w:sz w:val="22"/>
      <w:lang w:val="en-US"/>
    </w:rPr>
  </w:style>
  <w:style w:type="character" w:styleId="PlaceholderText">
    <w:name w:val="Placeholder Text"/>
    <w:basedOn w:val="DefaultParagraphFont"/>
    <w:uiPriority w:val="99"/>
    <w:semiHidden/>
    <w:rsid w:val="006873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8349">
      <w:bodyDiv w:val="1"/>
      <w:marLeft w:val="0"/>
      <w:marRight w:val="0"/>
      <w:marTop w:val="0"/>
      <w:marBottom w:val="0"/>
      <w:divBdr>
        <w:top w:val="none" w:sz="0" w:space="0" w:color="auto"/>
        <w:left w:val="none" w:sz="0" w:space="0" w:color="auto"/>
        <w:bottom w:val="none" w:sz="0" w:space="0" w:color="auto"/>
        <w:right w:val="none" w:sz="0" w:space="0" w:color="auto"/>
      </w:divBdr>
      <w:divsChild>
        <w:div w:id="12001910">
          <w:marLeft w:val="0"/>
          <w:marRight w:val="0"/>
          <w:marTop w:val="0"/>
          <w:marBottom w:val="0"/>
          <w:divBdr>
            <w:top w:val="none" w:sz="0" w:space="0" w:color="auto"/>
            <w:left w:val="none" w:sz="0" w:space="0" w:color="auto"/>
            <w:bottom w:val="none" w:sz="0" w:space="0" w:color="auto"/>
            <w:right w:val="none" w:sz="0" w:space="0" w:color="auto"/>
          </w:divBdr>
          <w:divsChild>
            <w:div w:id="31465582">
              <w:marLeft w:val="0"/>
              <w:marRight w:val="0"/>
              <w:marTop w:val="0"/>
              <w:marBottom w:val="0"/>
              <w:divBdr>
                <w:top w:val="none" w:sz="0" w:space="0" w:color="auto"/>
                <w:left w:val="none" w:sz="0" w:space="0" w:color="auto"/>
                <w:bottom w:val="none" w:sz="0" w:space="0" w:color="auto"/>
                <w:right w:val="none" w:sz="0" w:space="0" w:color="auto"/>
              </w:divBdr>
              <w:divsChild>
                <w:div w:id="601185603">
                  <w:marLeft w:val="0"/>
                  <w:marRight w:val="0"/>
                  <w:marTop w:val="0"/>
                  <w:marBottom w:val="0"/>
                  <w:divBdr>
                    <w:top w:val="none" w:sz="0" w:space="0" w:color="auto"/>
                    <w:left w:val="none" w:sz="0" w:space="0" w:color="auto"/>
                    <w:bottom w:val="none" w:sz="0" w:space="0" w:color="auto"/>
                    <w:right w:val="none" w:sz="0" w:space="0" w:color="auto"/>
                  </w:divBdr>
                  <w:divsChild>
                    <w:div w:id="993336002">
                      <w:marLeft w:val="0"/>
                      <w:marRight w:val="0"/>
                      <w:marTop w:val="0"/>
                      <w:marBottom w:val="0"/>
                      <w:divBdr>
                        <w:top w:val="none" w:sz="0" w:space="0" w:color="auto"/>
                        <w:left w:val="none" w:sz="0" w:space="0" w:color="auto"/>
                        <w:bottom w:val="none" w:sz="0" w:space="0" w:color="auto"/>
                        <w:right w:val="none" w:sz="0" w:space="0" w:color="auto"/>
                      </w:divBdr>
                      <w:divsChild>
                        <w:div w:id="2056082389">
                          <w:marLeft w:val="0"/>
                          <w:marRight w:val="0"/>
                          <w:marTop w:val="0"/>
                          <w:marBottom w:val="0"/>
                          <w:divBdr>
                            <w:top w:val="none" w:sz="0" w:space="0" w:color="auto"/>
                            <w:left w:val="none" w:sz="0" w:space="0" w:color="auto"/>
                            <w:bottom w:val="none" w:sz="0" w:space="0" w:color="auto"/>
                            <w:right w:val="none" w:sz="0" w:space="0" w:color="auto"/>
                          </w:divBdr>
                          <w:divsChild>
                            <w:div w:id="15416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7482">
                  <w:marLeft w:val="0"/>
                  <w:marRight w:val="0"/>
                  <w:marTop w:val="0"/>
                  <w:marBottom w:val="0"/>
                  <w:divBdr>
                    <w:top w:val="none" w:sz="0" w:space="0" w:color="auto"/>
                    <w:left w:val="none" w:sz="0" w:space="0" w:color="auto"/>
                    <w:bottom w:val="none" w:sz="0" w:space="0" w:color="auto"/>
                    <w:right w:val="none" w:sz="0" w:space="0" w:color="auto"/>
                  </w:divBdr>
                </w:div>
                <w:div w:id="1550066407">
                  <w:marLeft w:val="0"/>
                  <w:marRight w:val="0"/>
                  <w:marTop w:val="120"/>
                  <w:marBottom w:val="0"/>
                  <w:divBdr>
                    <w:top w:val="none" w:sz="0" w:space="0" w:color="auto"/>
                    <w:left w:val="none" w:sz="0" w:space="0" w:color="auto"/>
                    <w:bottom w:val="none" w:sz="0" w:space="0" w:color="auto"/>
                    <w:right w:val="none" w:sz="0" w:space="0" w:color="auto"/>
                  </w:divBdr>
                  <w:divsChild>
                    <w:div w:id="578176791">
                      <w:marLeft w:val="0"/>
                      <w:marRight w:val="0"/>
                      <w:marTop w:val="0"/>
                      <w:marBottom w:val="0"/>
                      <w:divBdr>
                        <w:top w:val="none" w:sz="0" w:space="0" w:color="auto"/>
                        <w:left w:val="none" w:sz="0" w:space="0" w:color="auto"/>
                        <w:bottom w:val="none" w:sz="0" w:space="0" w:color="auto"/>
                        <w:right w:val="none" w:sz="0" w:space="0" w:color="auto"/>
                      </w:divBdr>
                      <w:divsChild>
                        <w:div w:id="925191391">
                          <w:marLeft w:val="0"/>
                          <w:marRight w:val="60"/>
                          <w:marTop w:val="0"/>
                          <w:marBottom w:val="60"/>
                          <w:divBdr>
                            <w:top w:val="none" w:sz="0" w:space="0" w:color="auto"/>
                            <w:left w:val="none" w:sz="0" w:space="0" w:color="auto"/>
                            <w:bottom w:val="none" w:sz="0" w:space="0" w:color="auto"/>
                            <w:right w:val="none" w:sz="0" w:space="0" w:color="auto"/>
                          </w:divBdr>
                          <w:divsChild>
                            <w:div w:id="313609446">
                              <w:marLeft w:val="0"/>
                              <w:marRight w:val="0"/>
                              <w:marTop w:val="0"/>
                              <w:marBottom w:val="0"/>
                              <w:divBdr>
                                <w:top w:val="none" w:sz="0" w:space="0" w:color="auto"/>
                                <w:left w:val="none" w:sz="0" w:space="0" w:color="auto"/>
                                <w:bottom w:val="none" w:sz="0" w:space="0" w:color="auto"/>
                                <w:right w:val="none" w:sz="0" w:space="0" w:color="auto"/>
                              </w:divBdr>
                              <w:divsChild>
                                <w:div w:id="15316507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646063">
              <w:marLeft w:val="0"/>
              <w:marRight w:val="0"/>
              <w:marTop w:val="0"/>
              <w:marBottom w:val="0"/>
              <w:divBdr>
                <w:top w:val="none" w:sz="0" w:space="0" w:color="auto"/>
                <w:left w:val="none" w:sz="0" w:space="0" w:color="auto"/>
                <w:bottom w:val="none" w:sz="0" w:space="0" w:color="auto"/>
                <w:right w:val="none" w:sz="0" w:space="0" w:color="auto"/>
              </w:divBdr>
              <w:divsChild>
                <w:div w:id="740100067">
                  <w:marLeft w:val="0"/>
                  <w:marRight w:val="0"/>
                  <w:marTop w:val="0"/>
                  <w:marBottom w:val="0"/>
                  <w:divBdr>
                    <w:top w:val="none" w:sz="0" w:space="0" w:color="auto"/>
                    <w:left w:val="none" w:sz="0" w:space="0" w:color="auto"/>
                    <w:bottom w:val="none" w:sz="0" w:space="0" w:color="auto"/>
                    <w:right w:val="none" w:sz="0" w:space="0" w:color="auto"/>
                  </w:divBdr>
                  <w:divsChild>
                    <w:div w:id="951934910">
                      <w:marLeft w:val="0"/>
                      <w:marRight w:val="0"/>
                      <w:marTop w:val="0"/>
                      <w:marBottom w:val="0"/>
                      <w:divBdr>
                        <w:top w:val="none" w:sz="0" w:space="0" w:color="auto"/>
                        <w:left w:val="none" w:sz="0" w:space="0" w:color="auto"/>
                        <w:bottom w:val="none" w:sz="0" w:space="0" w:color="auto"/>
                        <w:right w:val="none" w:sz="0" w:space="0" w:color="auto"/>
                      </w:divBdr>
                      <w:divsChild>
                        <w:div w:id="466051177">
                          <w:marLeft w:val="0"/>
                          <w:marRight w:val="0"/>
                          <w:marTop w:val="0"/>
                          <w:marBottom w:val="0"/>
                          <w:divBdr>
                            <w:top w:val="none" w:sz="0" w:space="0" w:color="auto"/>
                            <w:left w:val="none" w:sz="0" w:space="0" w:color="auto"/>
                            <w:bottom w:val="none" w:sz="0" w:space="0" w:color="auto"/>
                            <w:right w:val="none" w:sz="0" w:space="0" w:color="auto"/>
                          </w:divBdr>
                          <w:divsChild>
                            <w:div w:id="262306935">
                              <w:marLeft w:val="0"/>
                              <w:marRight w:val="0"/>
                              <w:marTop w:val="0"/>
                              <w:marBottom w:val="0"/>
                              <w:divBdr>
                                <w:top w:val="none" w:sz="0" w:space="0" w:color="auto"/>
                                <w:left w:val="none" w:sz="0" w:space="0" w:color="auto"/>
                                <w:bottom w:val="none" w:sz="0" w:space="0" w:color="auto"/>
                                <w:right w:val="none" w:sz="0" w:space="0" w:color="auto"/>
                              </w:divBdr>
                              <w:divsChild>
                                <w:div w:id="523328512">
                                  <w:marLeft w:val="0"/>
                                  <w:marRight w:val="0"/>
                                  <w:marTop w:val="0"/>
                                  <w:marBottom w:val="0"/>
                                  <w:divBdr>
                                    <w:top w:val="none" w:sz="0" w:space="0" w:color="auto"/>
                                    <w:left w:val="none" w:sz="0" w:space="0" w:color="auto"/>
                                    <w:bottom w:val="none" w:sz="0" w:space="0" w:color="auto"/>
                                    <w:right w:val="none" w:sz="0" w:space="0" w:color="auto"/>
                                  </w:divBdr>
                                  <w:divsChild>
                                    <w:div w:id="156920426">
                                      <w:marLeft w:val="0"/>
                                      <w:marRight w:val="0"/>
                                      <w:marTop w:val="0"/>
                                      <w:marBottom w:val="0"/>
                                      <w:divBdr>
                                        <w:top w:val="none" w:sz="0" w:space="0" w:color="auto"/>
                                        <w:left w:val="none" w:sz="0" w:space="0" w:color="auto"/>
                                        <w:bottom w:val="none" w:sz="0" w:space="0" w:color="auto"/>
                                        <w:right w:val="none" w:sz="0" w:space="0" w:color="auto"/>
                                      </w:divBdr>
                                      <w:divsChild>
                                        <w:div w:id="18549934">
                                          <w:marLeft w:val="0"/>
                                          <w:marRight w:val="0"/>
                                          <w:marTop w:val="0"/>
                                          <w:marBottom w:val="0"/>
                                          <w:divBdr>
                                            <w:top w:val="none" w:sz="0" w:space="0" w:color="auto"/>
                                            <w:left w:val="none" w:sz="0" w:space="0" w:color="auto"/>
                                            <w:bottom w:val="none" w:sz="0" w:space="0" w:color="auto"/>
                                            <w:right w:val="none" w:sz="0" w:space="0" w:color="auto"/>
                                          </w:divBdr>
                                          <w:divsChild>
                                            <w:div w:id="191068185">
                                              <w:marLeft w:val="0"/>
                                              <w:marRight w:val="0"/>
                                              <w:marTop w:val="0"/>
                                              <w:marBottom w:val="0"/>
                                              <w:divBdr>
                                                <w:top w:val="none" w:sz="0" w:space="0" w:color="auto"/>
                                                <w:left w:val="none" w:sz="0" w:space="0" w:color="auto"/>
                                                <w:bottom w:val="none" w:sz="0" w:space="0" w:color="auto"/>
                                                <w:right w:val="none" w:sz="0" w:space="0" w:color="auto"/>
                                              </w:divBdr>
                                              <w:divsChild>
                                                <w:div w:id="1429813262">
                                                  <w:marLeft w:val="0"/>
                                                  <w:marRight w:val="0"/>
                                                  <w:marTop w:val="0"/>
                                                  <w:marBottom w:val="0"/>
                                                  <w:divBdr>
                                                    <w:top w:val="none" w:sz="0" w:space="0" w:color="auto"/>
                                                    <w:left w:val="none" w:sz="0" w:space="0" w:color="auto"/>
                                                    <w:bottom w:val="none" w:sz="0" w:space="0" w:color="auto"/>
                                                    <w:right w:val="none" w:sz="0" w:space="0" w:color="auto"/>
                                                  </w:divBdr>
                                                  <w:divsChild>
                                                    <w:div w:id="1363283020">
                                                      <w:marLeft w:val="0"/>
                                                      <w:marRight w:val="0"/>
                                                      <w:marTop w:val="0"/>
                                                      <w:marBottom w:val="0"/>
                                                      <w:divBdr>
                                                        <w:top w:val="none" w:sz="0" w:space="0" w:color="auto"/>
                                                        <w:left w:val="none" w:sz="0" w:space="0" w:color="auto"/>
                                                        <w:bottom w:val="none" w:sz="0" w:space="0" w:color="auto"/>
                                                        <w:right w:val="none" w:sz="0" w:space="0" w:color="auto"/>
                                                      </w:divBdr>
                                                      <w:divsChild>
                                                        <w:div w:id="10248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8264191">
          <w:marLeft w:val="0"/>
          <w:marRight w:val="0"/>
          <w:marTop w:val="0"/>
          <w:marBottom w:val="0"/>
          <w:divBdr>
            <w:top w:val="none" w:sz="0" w:space="0" w:color="auto"/>
            <w:left w:val="none" w:sz="0" w:space="0" w:color="auto"/>
            <w:bottom w:val="none" w:sz="0" w:space="0" w:color="auto"/>
            <w:right w:val="none" w:sz="0" w:space="0" w:color="auto"/>
          </w:divBdr>
          <w:divsChild>
            <w:div w:id="1774473826">
              <w:marLeft w:val="0"/>
              <w:marRight w:val="0"/>
              <w:marTop w:val="0"/>
              <w:marBottom w:val="0"/>
              <w:divBdr>
                <w:top w:val="none" w:sz="0" w:space="0" w:color="auto"/>
                <w:left w:val="none" w:sz="0" w:space="0" w:color="auto"/>
                <w:bottom w:val="none" w:sz="0" w:space="0" w:color="auto"/>
                <w:right w:val="none" w:sz="0" w:space="0" w:color="auto"/>
              </w:divBdr>
              <w:divsChild>
                <w:div w:id="1550148427">
                  <w:marLeft w:val="0"/>
                  <w:marRight w:val="0"/>
                  <w:marTop w:val="0"/>
                  <w:marBottom w:val="0"/>
                  <w:divBdr>
                    <w:top w:val="none" w:sz="0" w:space="0" w:color="auto"/>
                    <w:left w:val="none" w:sz="0" w:space="0" w:color="auto"/>
                    <w:bottom w:val="none" w:sz="0" w:space="0" w:color="auto"/>
                    <w:right w:val="none" w:sz="0" w:space="0" w:color="auto"/>
                  </w:divBdr>
                  <w:divsChild>
                    <w:div w:id="3414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GsoaM81sE/3vOSyDr8r7RP6fHQ==">CgMxLjA4AHIhMVBYZ203dWhuc2NNZnhzVmhjWGlobks3SHNzc01fS1dx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1516</Words>
  <Characters>8646</Characters>
  <Application>Microsoft Office Word</Application>
  <DocSecurity>0</DocSecurity>
  <Lines>72</Lines>
  <Paragraphs>20</Paragraphs>
  <ScaleCrop>false</ScaleCrop>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Lawrie</dc:creator>
  <cp:lastModifiedBy>Monica Bourque</cp:lastModifiedBy>
  <cp:revision>3</cp:revision>
  <dcterms:created xsi:type="dcterms:W3CDTF">2024-05-09T19:35:00Z</dcterms:created>
  <dcterms:modified xsi:type="dcterms:W3CDTF">2024-05-10T18:18:00Z</dcterms:modified>
</cp:coreProperties>
</file>