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29D6D5A4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3000E7">
              <w:rPr>
                <w:b/>
                <w:bCs/>
                <w:noProof/>
                <w:sz w:val="24"/>
                <w:szCs w:val="24"/>
              </w:rPr>
              <w:t>5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095B39CD" w:rsidR="00731C94" w:rsidRPr="00182953" w:rsidRDefault="00182953" w:rsidP="003000E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0D6CC4">
              <w:rPr>
                <w:b/>
                <w:bCs/>
                <w:noProof/>
                <w:sz w:val="28"/>
                <w:szCs w:val="28"/>
              </w:rPr>
              <w:t>EXPENSE</w:t>
            </w:r>
            <w:r w:rsidR="003000E7">
              <w:rPr>
                <w:b/>
                <w:bCs/>
                <w:noProof/>
                <w:sz w:val="28"/>
                <w:szCs w:val="28"/>
              </w:rPr>
              <w:t xml:space="preserve">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4B0C22C8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47B48D7A" w14:textId="707108A1" w:rsidR="000A59D4" w:rsidRDefault="000A59D4" w:rsidP="006D7E98">
      <w:pPr>
        <w:spacing w:after="0" w:line="276" w:lineRule="auto"/>
        <w:rPr>
          <w:b/>
          <w:bCs/>
          <w:noProof/>
          <w:sz w:val="24"/>
          <w:szCs w:val="24"/>
        </w:rPr>
      </w:pPr>
      <w:r w:rsidRPr="000A59D4">
        <w:rPr>
          <w:b/>
          <w:bCs/>
          <w:noProof/>
          <w:sz w:val="24"/>
          <w:szCs w:val="24"/>
        </w:rPr>
        <w:t xml:space="preserve">1.0 PURPOSE </w:t>
      </w:r>
      <w:r>
        <w:rPr>
          <w:b/>
          <w:bCs/>
          <w:noProof/>
          <w:sz w:val="24"/>
          <w:szCs w:val="24"/>
        </w:rPr>
        <w:br/>
      </w:r>
      <w:r w:rsidRPr="00E61EE4">
        <w:rPr>
          <w:noProof/>
          <w:sz w:val="24"/>
          <w:szCs w:val="24"/>
        </w:rPr>
        <w:t xml:space="preserve">1. The Expense Policy of </w:t>
      </w:r>
      <w:r w:rsidR="00E61EE4">
        <w:rPr>
          <w:noProof/>
          <w:sz w:val="24"/>
          <w:szCs w:val="24"/>
        </w:rPr>
        <w:t xml:space="preserve">WSC </w:t>
      </w:r>
      <w:r w:rsidRPr="00E61EE4">
        <w:rPr>
          <w:noProof/>
          <w:sz w:val="24"/>
          <w:szCs w:val="24"/>
        </w:rPr>
        <w:t xml:space="preserve">aims to establish guidelines for the reimbursement of reasonable expenses incurred by </w:t>
      </w:r>
      <w:r w:rsidR="00E61EE4">
        <w:rPr>
          <w:noProof/>
          <w:sz w:val="24"/>
          <w:szCs w:val="24"/>
        </w:rPr>
        <w:t>WSC</w:t>
      </w:r>
      <w:r w:rsidR="00E61EE4" w:rsidRPr="00E61EE4">
        <w:rPr>
          <w:noProof/>
          <w:sz w:val="24"/>
          <w:szCs w:val="24"/>
        </w:rPr>
        <w:t xml:space="preserve"> </w:t>
      </w:r>
      <w:r w:rsidRPr="00E61EE4">
        <w:rPr>
          <w:noProof/>
          <w:sz w:val="24"/>
          <w:szCs w:val="24"/>
        </w:rPr>
        <w:t xml:space="preserve">board members, employees, volunteers, and coaches while engaging in officially endorsed activities sanctioned </w:t>
      </w:r>
      <w:r w:rsidR="00E61EE4">
        <w:rPr>
          <w:noProof/>
          <w:sz w:val="24"/>
          <w:szCs w:val="24"/>
        </w:rPr>
        <w:t>WSC</w:t>
      </w:r>
      <w:r w:rsidR="00E61EE4">
        <w:rPr>
          <w:noProof/>
          <w:sz w:val="24"/>
          <w:szCs w:val="24"/>
        </w:rPr>
        <w:t xml:space="preserve">. </w:t>
      </w:r>
      <w:r w:rsidRPr="00E61EE4">
        <w:rPr>
          <w:noProof/>
          <w:sz w:val="24"/>
          <w:szCs w:val="24"/>
        </w:rPr>
        <w:t>This policy ensures fairness, transparency, and accountability in expense reimbursement procedures.</w:t>
      </w:r>
      <w:r w:rsidRPr="000A59D4">
        <w:rPr>
          <w:b/>
          <w:bCs/>
          <w:noProof/>
          <w:sz w:val="24"/>
          <w:szCs w:val="24"/>
        </w:rPr>
        <w:t xml:space="preserve"> </w:t>
      </w:r>
    </w:p>
    <w:p w14:paraId="5FABECAD" w14:textId="77777777" w:rsidR="000A59D4" w:rsidRDefault="000A59D4" w:rsidP="006D7E98">
      <w:pPr>
        <w:spacing w:after="0" w:line="276" w:lineRule="auto"/>
        <w:rPr>
          <w:b/>
          <w:bCs/>
          <w:noProof/>
          <w:sz w:val="24"/>
          <w:szCs w:val="24"/>
        </w:rPr>
      </w:pPr>
    </w:p>
    <w:p w14:paraId="4E885EC4" w14:textId="3BF70593" w:rsidR="000A59D4" w:rsidRDefault="000A59D4" w:rsidP="006D7E98">
      <w:pPr>
        <w:spacing w:after="0" w:line="276" w:lineRule="auto"/>
        <w:rPr>
          <w:b/>
          <w:bCs/>
          <w:noProof/>
          <w:sz w:val="24"/>
          <w:szCs w:val="24"/>
        </w:rPr>
      </w:pPr>
      <w:r w:rsidRPr="000A59D4">
        <w:rPr>
          <w:b/>
          <w:bCs/>
          <w:noProof/>
          <w:sz w:val="24"/>
          <w:szCs w:val="24"/>
        </w:rPr>
        <w:t xml:space="preserve">2.0 DEPARTMENT(S) AFFECTED (SCOPE) </w:t>
      </w:r>
      <w:r>
        <w:rPr>
          <w:b/>
          <w:bCs/>
          <w:noProof/>
          <w:sz w:val="24"/>
          <w:szCs w:val="24"/>
        </w:rPr>
        <w:br/>
      </w:r>
      <w:r w:rsidRPr="00E61EE4">
        <w:rPr>
          <w:noProof/>
          <w:sz w:val="24"/>
          <w:szCs w:val="24"/>
        </w:rPr>
        <w:t xml:space="preserve">2.1 Department(s) Affected: </w:t>
      </w:r>
      <w:r w:rsidR="00E61EE4">
        <w:rPr>
          <w:noProof/>
          <w:sz w:val="24"/>
          <w:szCs w:val="24"/>
        </w:rPr>
        <w:t>WILTON SOCCER CLUB</w:t>
      </w:r>
      <w:r w:rsidRPr="000A59D4">
        <w:rPr>
          <w:b/>
          <w:bCs/>
          <w:noProof/>
          <w:sz w:val="24"/>
          <w:szCs w:val="24"/>
        </w:rPr>
        <w:t xml:space="preserve"> </w:t>
      </w:r>
    </w:p>
    <w:p w14:paraId="3769CE20" w14:textId="77777777" w:rsidR="000A59D4" w:rsidRDefault="000A59D4" w:rsidP="006D7E98">
      <w:pPr>
        <w:spacing w:after="0" w:line="276" w:lineRule="auto"/>
        <w:rPr>
          <w:b/>
          <w:bCs/>
          <w:noProof/>
          <w:sz w:val="24"/>
          <w:szCs w:val="24"/>
        </w:rPr>
      </w:pPr>
    </w:p>
    <w:p w14:paraId="4C1B01DB" w14:textId="77777777" w:rsidR="005E0430" w:rsidRDefault="000A59D4" w:rsidP="006D7E98">
      <w:pPr>
        <w:spacing w:after="0" w:line="276" w:lineRule="auto"/>
        <w:rPr>
          <w:noProof/>
          <w:sz w:val="24"/>
          <w:szCs w:val="24"/>
        </w:rPr>
      </w:pPr>
      <w:r w:rsidRPr="000A59D4">
        <w:rPr>
          <w:b/>
          <w:bCs/>
          <w:noProof/>
          <w:sz w:val="24"/>
          <w:szCs w:val="24"/>
        </w:rPr>
        <w:t xml:space="preserve">3.0 POLICY </w:t>
      </w:r>
      <w:r>
        <w:rPr>
          <w:b/>
          <w:bCs/>
          <w:noProof/>
          <w:sz w:val="24"/>
          <w:szCs w:val="24"/>
        </w:rPr>
        <w:br/>
      </w:r>
      <w:r w:rsidRPr="00E61EE4">
        <w:rPr>
          <w:noProof/>
          <w:sz w:val="24"/>
          <w:szCs w:val="24"/>
        </w:rPr>
        <w:t xml:space="preserve">3.1 Eligibility: All </w:t>
      </w:r>
      <w:r w:rsidR="00BD465C">
        <w:rPr>
          <w:noProof/>
          <w:sz w:val="24"/>
          <w:szCs w:val="24"/>
        </w:rPr>
        <w:t>WSC</w:t>
      </w:r>
      <w:r w:rsidR="00BD465C" w:rsidRPr="00E61EE4">
        <w:rPr>
          <w:noProof/>
          <w:sz w:val="24"/>
          <w:szCs w:val="24"/>
        </w:rPr>
        <w:t xml:space="preserve"> </w:t>
      </w:r>
      <w:r w:rsidRPr="00E61EE4">
        <w:rPr>
          <w:noProof/>
          <w:sz w:val="24"/>
          <w:szCs w:val="24"/>
        </w:rPr>
        <w:t xml:space="preserve">board members, employees, volunteers, and coaches are eligible to claim reasonable expenses incurred during officially endorsed activities sanctioned by </w:t>
      </w:r>
      <w:r w:rsidR="00BD465C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. All expenses must receive prior approval from the </w:t>
      </w:r>
      <w:r w:rsidR="00BD465C">
        <w:rPr>
          <w:noProof/>
          <w:sz w:val="24"/>
          <w:szCs w:val="24"/>
        </w:rPr>
        <w:t>WSC</w:t>
      </w:r>
      <w:r w:rsidR="00BD465C" w:rsidRPr="00E61EE4">
        <w:rPr>
          <w:noProof/>
          <w:sz w:val="24"/>
          <w:szCs w:val="24"/>
        </w:rPr>
        <w:t xml:space="preserve"> </w:t>
      </w:r>
      <w:r w:rsidRPr="00E61EE4">
        <w:rPr>
          <w:noProof/>
          <w:sz w:val="24"/>
          <w:szCs w:val="24"/>
        </w:rPr>
        <w:t xml:space="preserve">Board before the commencement of the activity. No advance payments will be issued; expenses will be processed for reimbursement after the sanctioned event. </w:t>
      </w:r>
    </w:p>
    <w:p w14:paraId="2954338B" w14:textId="73B297F5" w:rsidR="005C2D2F" w:rsidRPr="00E61EE4" w:rsidRDefault="005E0430" w:rsidP="006D7E98">
      <w:pPr>
        <w:spacing w:after="0"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br/>
      </w:r>
      <w:r w:rsidR="000A59D4" w:rsidRPr="00E61EE4">
        <w:rPr>
          <w:noProof/>
          <w:sz w:val="24"/>
          <w:szCs w:val="24"/>
        </w:rPr>
        <w:t xml:space="preserve">3.2 Allowable Expenses: </w:t>
      </w:r>
      <w:r w:rsidR="000A59D4" w:rsidRPr="00E61EE4">
        <w:rPr>
          <w:noProof/>
          <w:sz w:val="24"/>
          <w:szCs w:val="24"/>
        </w:rPr>
        <w:br/>
      </w:r>
      <w:r w:rsidR="000A59D4" w:rsidRPr="00E61EE4">
        <w:rPr>
          <w:noProof/>
          <w:sz w:val="24"/>
          <w:szCs w:val="24"/>
        </w:rPr>
        <w:t xml:space="preserve">3.2.1 Mileage: Reimbursement for mileage will be provided for travel to and from </w:t>
      </w:r>
      <w:r>
        <w:rPr>
          <w:noProof/>
          <w:sz w:val="24"/>
          <w:szCs w:val="24"/>
        </w:rPr>
        <w:t xml:space="preserve">SSA </w:t>
      </w:r>
      <w:r w:rsidR="000A59D4" w:rsidRPr="00E61EE4">
        <w:rPr>
          <w:noProof/>
          <w:sz w:val="24"/>
          <w:szCs w:val="24"/>
        </w:rPr>
        <w:t xml:space="preserve">sanctioned events located more than </w:t>
      </w:r>
      <w:r>
        <w:rPr>
          <w:noProof/>
          <w:sz w:val="24"/>
          <w:szCs w:val="24"/>
        </w:rPr>
        <w:t>100</w:t>
      </w:r>
      <w:r w:rsidR="000A59D4" w:rsidRPr="00E61EE4">
        <w:rPr>
          <w:noProof/>
          <w:sz w:val="24"/>
          <w:szCs w:val="24"/>
        </w:rPr>
        <w:t xml:space="preserve">KM outside the </w:t>
      </w:r>
      <w:r>
        <w:rPr>
          <w:noProof/>
          <w:sz w:val="24"/>
          <w:szCs w:val="24"/>
        </w:rPr>
        <w:t>Wilton RM</w:t>
      </w:r>
      <w:r w:rsidR="000A59D4" w:rsidRPr="00E61EE4">
        <w:rPr>
          <w:noProof/>
          <w:sz w:val="24"/>
          <w:szCs w:val="24"/>
        </w:rPr>
        <w:t xml:space="preserve">. Mileage will be covered at a rate of </w:t>
      </w:r>
      <w:r>
        <w:rPr>
          <w:noProof/>
          <w:sz w:val="24"/>
          <w:szCs w:val="24"/>
        </w:rPr>
        <w:t>55</w:t>
      </w:r>
      <w:r w:rsidR="000A59D4" w:rsidRPr="00E61EE4">
        <w:rPr>
          <w:noProof/>
          <w:sz w:val="24"/>
          <w:szCs w:val="24"/>
        </w:rPr>
        <w:t xml:space="preserve"> cents per kilometer. </w:t>
      </w:r>
    </w:p>
    <w:p w14:paraId="1EF0014C" w14:textId="25EF1A36" w:rsidR="005C2D2F" w:rsidRPr="00E61EE4" w:rsidRDefault="005C2D2F" w:rsidP="006D7E98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3.2.2 </w:t>
      </w:r>
      <w:r w:rsidR="000A59D4" w:rsidRPr="00E61EE4">
        <w:rPr>
          <w:noProof/>
          <w:sz w:val="24"/>
          <w:szCs w:val="24"/>
        </w:rPr>
        <w:t xml:space="preserve">Hotel Fees: Reimbursement for hotel fees will be considered for multi-day sanctioned events occurring more than 100km outside the </w:t>
      </w:r>
      <w:r w:rsidR="005E0430">
        <w:rPr>
          <w:noProof/>
          <w:sz w:val="24"/>
          <w:szCs w:val="24"/>
        </w:rPr>
        <w:t>RM of Wilton</w:t>
      </w:r>
      <w:r w:rsidR="000A59D4" w:rsidRPr="00E61EE4">
        <w:rPr>
          <w:noProof/>
          <w:sz w:val="24"/>
          <w:szCs w:val="24"/>
        </w:rPr>
        <w:t>. This allowance applies if event activities span across both days or if returning home would pose safety concerns due to late event termination</w:t>
      </w:r>
      <w:r w:rsidR="005E0430">
        <w:rPr>
          <w:noProof/>
          <w:sz w:val="24"/>
          <w:szCs w:val="24"/>
        </w:rPr>
        <w:t xml:space="preserve">; or requires you to travel before 7am to attend a </w:t>
      </w:r>
      <w:r w:rsidR="001F42B1">
        <w:rPr>
          <w:noProof/>
          <w:sz w:val="24"/>
          <w:szCs w:val="24"/>
        </w:rPr>
        <w:t>event</w:t>
      </w:r>
      <w:r w:rsidR="000A59D4" w:rsidRPr="00E61EE4">
        <w:rPr>
          <w:noProof/>
          <w:sz w:val="24"/>
          <w:szCs w:val="24"/>
        </w:rPr>
        <w:t xml:space="preserve">. Reimbursement will be made upon submission of valid receipts. </w:t>
      </w:r>
    </w:p>
    <w:p w14:paraId="42F1E470" w14:textId="77777777" w:rsidR="005C2D2F" w:rsidRPr="00E61EE4" w:rsidRDefault="005C2D2F" w:rsidP="006D7E98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3.2.3 </w:t>
      </w:r>
      <w:r w:rsidR="000A59D4" w:rsidRPr="00E61EE4">
        <w:rPr>
          <w:noProof/>
          <w:sz w:val="24"/>
          <w:szCs w:val="24"/>
        </w:rPr>
        <w:t xml:space="preserve">Meals: Reimbursement for meals consumed during sanctioned events is permissible, subject to the following: </w:t>
      </w:r>
    </w:p>
    <w:p w14:paraId="76005674" w14:textId="77777777" w:rsidR="007802D4" w:rsidRPr="00E61EE4" w:rsidRDefault="000A59D4" w:rsidP="007802D4">
      <w:pPr>
        <w:spacing w:after="0" w:line="276" w:lineRule="auto"/>
        <w:ind w:left="720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3.2.3.1 Breakfast: Reimbursement up to $10 is allowable for breakfast consumed prior to 7am departure, when not included/provided by the hotel or event. </w:t>
      </w:r>
    </w:p>
    <w:p w14:paraId="08937495" w14:textId="6B6099B6" w:rsidR="007802D4" w:rsidRPr="00E61EE4" w:rsidRDefault="000A59D4" w:rsidP="007802D4">
      <w:pPr>
        <w:spacing w:after="0" w:line="276" w:lineRule="auto"/>
        <w:ind w:left="720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3.2.3.2 Lunch: Reimbursement up to $18 is permissible for lunch consumed during the </w:t>
      </w:r>
      <w:r w:rsidR="001F42B1">
        <w:rPr>
          <w:noProof/>
          <w:sz w:val="24"/>
          <w:szCs w:val="24"/>
        </w:rPr>
        <w:t xml:space="preserve">SSA </w:t>
      </w:r>
      <w:r w:rsidRPr="00E61EE4">
        <w:rPr>
          <w:noProof/>
          <w:sz w:val="24"/>
          <w:szCs w:val="24"/>
        </w:rPr>
        <w:t xml:space="preserve">sanctioned event. </w:t>
      </w:r>
    </w:p>
    <w:p w14:paraId="07B68B71" w14:textId="2BD0B309" w:rsidR="007802D4" w:rsidRPr="00E61EE4" w:rsidRDefault="000A59D4" w:rsidP="007802D4">
      <w:pPr>
        <w:spacing w:after="0" w:line="276" w:lineRule="auto"/>
        <w:ind w:left="720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3.2.3.3 Dinner: Reimbursement up to $23 is allowable for dinner if arriving back in the </w:t>
      </w:r>
      <w:r w:rsidR="001F42B1">
        <w:rPr>
          <w:noProof/>
          <w:sz w:val="24"/>
          <w:szCs w:val="24"/>
        </w:rPr>
        <w:t>Wilton RM</w:t>
      </w:r>
      <w:r w:rsidRPr="00E61EE4">
        <w:rPr>
          <w:noProof/>
          <w:sz w:val="24"/>
          <w:szCs w:val="24"/>
        </w:rPr>
        <w:t xml:space="preserve"> after 6pm, provided receipts are submitted. Meals cannot be claimed if already provided by the event or hotel. Alcoholic beverages will not be reimbursed. </w:t>
      </w:r>
    </w:p>
    <w:p w14:paraId="6341E572" w14:textId="1CE73D80" w:rsidR="007802D4" w:rsidRPr="00E61EE4" w:rsidRDefault="000A59D4" w:rsidP="00F9160D">
      <w:pPr>
        <w:spacing w:after="0" w:line="276" w:lineRule="auto"/>
        <w:ind w:left="720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3.2.3.4 Additional fees: Any other reasonable expenses directly associated with supporting a </w:t>
      </w:r>
      <w:r w:rsidR="00F9160D" w:rsidRPr="00E61EE4">
        <w:rPr>
          <w:noProof/>
          <w:sz w:val="24"/>
          <w:szCs w:val="24"/>
        </w:rPr>
        <w:t xml:space="preserve">   </w:t>
      </w:r>
      <w:r w:rsidRPr="00E61EE4">
        <w:rPr>
          <w:noProof/>
          <w:sz w:val="24"/>
          <w:szCs w:val="24"/>
        </w:rPr>
        <w:t xml:space="preserve">sanctioned event are reimbursable if accompanied by valid receipts. </w:t>
      </w:r>
    </w:p>
    <w:p w14:paraId="58CABD64" w14:textId="77777777" w:rsidR="007802D4" w:rsidRDefault="007802D4" w:rsidP="007802D4">
      <w:pPr>
        <w:spacing w:after="0" w:line="276" w:lineRule="auto"/>
        <w:ind w:firstLine="720"/>
        <w:rPr>
          <w:b/>
          <w:bCs/>
          <w:noProof/>
          <w:sz w:val="24"/>
          <w:szCs w:val="24"/>
        </w:rPr>
      </w:pPr>
    </w:p>
    <w:p w14:paraId="588910F7" w14:textId="77777777" w:rsidR="00F9160D" w:rsidRDefault="000A59D4" w:rsidP="00F9160D">
      <w:pPr>
        <w:spacing w:after="0" w:line="276" w:lineRule="auto"/>
        <w:rPr>
          <w:b/>
          <w:bCs/>
          <w:noProof/>
          <w:sz w:val="24"/>
          <w:szCs w:val="24"/>
        </w:rPr>
      </w:pPr>
      <w:r w:rsidRPr="000A59D4">
        <w:rPr>
          <w:b/>
          <w:bCs/>
          <w:noProof/>
          <w:sz w:val="24"/>
          <w:szCs w:val="24"/>
        </w:rPr>
        <w:t xml:space="preserve">4.0 DEFINITIONS </w:t>
      </w:r>
    </w:p>
    <w:p w14:paraId="09A372E2" w14:textId="5D75301F" w:rsidR="00F9160D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1. Reasonable expenses refer to costs that are necessary, appropriate, and directly related to supporting </w:t>
      </w:r>
      <w:r w:rsidR="00A252BE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during officially endorsed activities. Such expenses must comply with the outlined criteria and be adequately documented with receipts for reimbursement. </w:t>
      </w:r>
    </w:p>
    <w:p w14:paraId="3128D662" w14:textId="77777777" w:rsidR="00F9160D" w:rsidRDefault="00F9160D" w:rsidP="00F9160D">
      <w:pPr>
        <w:spacing w:after="0" w:line="276" w:lineRule="auto"/>
        <w:rPr>
          <w:b/>
          <w:bCs/>
          <w:noProof/>
          <w:sz w:val="24"/>
          <w:szCs w:val="24"/>
        </w:rPr>
      </w:pPr>
    </w:p>
    <w:p w14:paraId="738E0B34" w14:textId="77777777" w:rsidR="00F9160D" w:rsidRDefault="000A59D4" w:rsidP="00F9160D">
      <w:pPr>
        <w:spacing w:after="0" w:line="276" w:lineRule="auto"/>
        <w:rPr>
          <w:b/>
          <w:bCs/>
          <w:noProof/>
          <w:sz w:val="24"/>
          <w:szCs w:val="24"/>
        </w:rPr>
      </w:pPr>
      <w:r w:rsidRPr="000A59D4">
        <w:rPr>
          <w:b/>
          <w:bCs/>
          <w:noProof/>
          <w:sz w:val="24"/>
          <w:szCs w:val="24"/>
        </w:rPr>
        <w:t xml:space="preserve">5.0 RESPONSIBILITIES </w:t>
      </w:r>
    </w:p>
    <w:p w14:paraId="52DC29B1" w14:textId="77777777" w:rsidR="00F9160D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2. Claimants: Individuals seeking reimbursement are responsible for: </w:t>
      </w:r>
    </w:p>
    <w:p w14:paraId="03538A23" w14:textId="7DE90EAA" w:rsidR="00F9160D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2.1. Obtaining prior approval for expenses from </w:t>
      </w:r>
      <w:r w:rsidR="00A252BE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Board </w:t>
      </w:r>
    </w:p>
    <w:p w14:paraId="5C3A73BD" w14:textId="77777777" w:rsidR="00F9160D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2.2. Providing accurate and complete documentation, including receipts, for all claimed expenses. </w:t>
      </w:r>
    </w:p>
    <w:p w14:paraId="749EB934" w14:textId="77777777" w:rsidR="00F9160D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2.3. Adhering to the outlined guidelines and ensuring expenses are within the defined limits. </w:t>
      </w:r>
    </w:p>
    <w:p w14:paraId="4A6DD313" w14:textId="77777777" w:rsidR="00F9160D" w:rsidRDefault="00F9160D" w:rsidP="00F9160D">
      <w:pPr>
        <w:spacing w:after="0" w:line="276" w:lineRule="auto"/>
        <w:rPr>
          <w:b/>
          <w:bCs/>
          <w:noProof/>
          <w:sz w:val="24"/>
          <w:szCs w:val="24"/>
        </w:rPr>
      </w:pPr>
    </w:p>
    <w:p w14:paraId="38C0C057" w14:textId="4B4E3C1A" w:rsidR="00E61EE4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 </w:t>
      </w:r>
      <w:r w:rsidR="00A252BE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Board: The </w:t>
      </w:r>
      <w:r w:rsidR="00A252BE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board is responsible for: </w:t>
      </w:r>
    </w:p>
    <w:p w14:paraId="68429E9A" w14:textId="77777777" w:rsidR="00E61EE4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3.1. Reviewing and approving expense claims before and after sanctioned events. </w:t>
      </w:r>
    </w:p>
    <w:p w14:paraId="3BC13C04" w14:textId="77777777" w:rsidR="00E61EE4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3.2. Ensuring compliance with the policy guidelines. </w:t>
      </w:r>
    </w:p>
    <w:p w14:paraId="4610F1EB" w14:textId="77777777" w:rsidR="00E61EE4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3.3. Authorizing reimbursements in a timely manner upon satisfactory submission of expense claims. </w:t>
      </w:r>
    </w:p>
    <w:p w14:paraId="723FCFCE" w14:textId="77777777" w:rsidR="00E61EE4" w:rsidRDefault="00E61EE4" w:rsidP="00F9160D">
      <w:pPr>
        <w:spacing w:after="0" w:line="276" w:lineRule="auto"/>
        <w:rPr>
          <w:b/>
          <w:bCs/>
          <w:noProof/>
          <w:sz w:val="24"/>
          <w:szCs w:val="24"/>
        </w:rPr>
      </w:pPr>
    </w:p>
    <w:p w14:paraId="3AAC41EB" w14:textId="77777777" w:rsidR="00E61EE4" w:rsidRDefault="000A59D4" w:rsidP="00F9160D">
      <w:pPr>
        <w:spacing w:after="0" w:line="276" w:lineRule="auto"/>
        <w:rPr>
          <w:b/>
          <w:bCs/>
          <w:noProof/>
          <w:sz w:val="24"/>
          <w:szCs w:val="24"/>
        </w:rPr>
      </w:pPr>
      <w:r w:rsidRPr="000A59D4">
        <w:rPr>
          <w:b/>
          <w:bCs/>
          <w:noProof/>
          <w:sz w:val="24"/>
          <w:szCs w:val="24"/>
        </w:rPr>
        <w:t xml:space="preserve">6.0 IMPLEMENTATION </w:t>
      </w:r>
    </w:p>
    <w:p w14:paraId="5B587343" w14:textId="73CD1690" w:rsidR="00E61EE4" w:rsidRPr="00E61EE4" w:rsidRDefault="000A59D4" w:rsidP="00F9160D">
      <w:pPr>
        <w:spacing w:after="0" w:line="276" w:lineRule="auto"/>
        <w:rPr>
          <w:noProof/>
          <w:sz w:val="24"/>
          <w:szCs w:val="24"/>
        </w:rPr>
      </w:pPr>
      <w:r w:rsidRPr="00E61EE4">
        <w:rPr>
          <w:noProof/>
          <w:sz w:val="24"/>
          <w:szCs w:val="24"/>
        </w:rPr>
        <w:t xml:space="preserve">6.1 This Expense Policy shall be communicated to all relevant parties, including </w:t>
      </w:r>
      <w:r w:rsidR="004948AF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board members, employees, volunteers, and Competitive League coaches. It will be made available through official channels and included in orientation materials for new individuals joining </w:t>
      </w:r>
      <w:r w:rsidR="004948AF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Updates or modifications to this policy will be communicated promptly to all affected parties. </w:t>
      </w:r>
    </w:p>
    <w:p w14:paraId="5231A88E" w14:textId="246E17C4" w:rsidR="00C443FC" w:rsidRPr="00E61EE4" w:rsidRDefault="000A59D4" w:rsidP="00F9160D">
      <w:pPr>
        <w:spacing w:after="0" w:line="276" w:lineRule="auto"/>
        <w:rPr>
          <w:noProof/>
        </w:rPr>
      </w:pPr>
      <w:r w:rsidRPr="00E61EE4">
        <w:rPr>
          <w:noProof/>
          <w:sz w:val="24"/>
          <w:szCs w:val="24"/>
        </w:rPr>
        <w:t xml:space="preserve">6.2 This Expense Policy aims to uphold the principles of fairness, accountability, and responsible financial management within </w:t>
      </w:r>
      <w:r w:rsidR="004948AF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while supporting those directly involved in furthering the organization’s objectives. Note: The figures provided for meal reimbursements are illustrative and can be adjusted based on </w:t>
      </w:r>
      <w:r w:rsidR="004948AF">
        <w:rPr>
          <w:noProof/>
          <w:sz w:val="24"/>
          <w:szCs w:val="24"/>
        </w:rPr>
        <w:t>WSC</w:t>
      </w:r>
      <w:r w:rsidRPr="00E61EE4">
        <w:rPr>
          <w:noProof/>
          <w:sz w:val="24"/>
          <w:szCs w:val="24"/>
        </w:rPr>
        <w:t xml:space="preserve"> financial constraints and prevailing rates.</w:t>
      </w:r>
    </w:p>
    <w:p w14:paraId="0FF85D16" w14:textId="77777777" w:rsidR="00C443FC" w:rsidRDefault="00C443FC" w:rsidP="006D7E98">
      <w:pPr>
        <w:spacing w:after="0" w:line="276" w:lineRule="auto"/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8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9993" w14:textId="77777777" w:rsidR="00EF4871" w:rsidRDefault="00EF4871" w:rsidP="00433F5E">
      <w:pPr>
        <w:spacing w:after="0" w:line="240" w:lineRule="auto"/>
      </w:pPr>
      <w:r>
        <w:separator/>
      </w:r>
    </w:p>
  </w:endnote>
  <w:endnote w:type="continuationSeparator" w:id="0">
    <w:p w14:paraId="7324E66C" w14:textId="77777777" w:rsidR="00EF4871" w:rsidRDefault="00EF4871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2ED2" w14:textId="77777777" w:rsidR="00EF4871" w:rsidRDefault="00EF4871" w:rsidP="00433F5E">
      <w:pPr>
        <w:spacing w:after="0" w:line="240" w:lineRule="auto"/>
      </w:pPr>
      <w:r>
        <w:separator/>
      </w:r>
    </w:p>
  </w:footnote>
  <w:footnote w:type="continuationSeparator" w:id="0">
    <w:p w14:paraId="555021C6" w14:textId="77777777" w:rsidR="00EF4871" w:rsidRDefault="00EF4871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0A59D4"/>
    <w:rsid w:val="000D6CC4"/>
    <w:rsid w:val="00112A85"/>
    <w:rsid w:val="0015780E"/>
    <w:rsid w:val="00182953"/>
    <w:rsid w:val="001B2121"/>
    <w:rsid w:val="001F42B1"/>
    <w:rsid w:val="00257614"/>
    <w:rsid w:val="00286EA2"/>
    <w:rsid w:val="002A073E"/>
    <w:rsid w:val="002E563E"/>
    <w:rsid w:val="003000E7"/>
    <w:rsid w:val="003424EF"/>
    <w:rsid w:val="00365C3B"/>
    <w:rsid w:val="003A193A"/>
    <w:rsid w:val="00433F5E"/>
    <w:rsid w:val="004652B3"/>
    <w:rsid w:val="004948AF"/>
    <w:rsid w:val="004D3FBA"/>
    <w:rsid w:val="004D5CBC"/>
    <w:rsid w:val="00522892"/>
    <w:rsid w:val="00535FBA"/>
    <w:rsid w:val="00540FDE"/>
    <w:rsid w:val="00555559"/>
    <w:rsid w:val="005B28BF"/>
    <w:rsid w:val="005C2D2F"/>
    <w:rsid w:val="005C7577"/>
    <w:rsid w:val="005E0430"/>
    <w:rsid w:val="006670CC"/>
    <w:rsid w:val="006B5C96"/>
    <w:rsid w:val="006B7C57"/>
    <w:rsid w:val="006C1C17"/>
    <w:rsid w:val="006D7E98"/>
    <w:rsid w:val="00707488"/>
    <w:rsid w:val="00717D3A"/>
    <w:rsid w:val="00731C94"/>
    <w:rsid w:val="007802D4"/>
    <w:rsid w:val="007A1E32"/>
    <w:rsid w:val="007E7E6E"/>
    <w:rsid w:val="00880EE1"/>
    <w:rsid w:val="008E69E3"/>
    <w:rsid w:val="00961390"/>
    <w:rsid w:val="009A3587"/>
    <w:rsid w:val="009B455E"/>
    <w:rsid w:val="00A252BE"/>
    <w:rsid w:val="00A47B1B"/>
    <w:rsid w:val="00AA19B2"/>
    <w:rsid w:val="00B67A08"/>
    <w:rsid w:val="00B8716F"/>
    <w:rsid w:val="00BD465C"/>
    <w:rsid w:val="00BE7370"/>
    <w:rsid w:val="00C1635D"/>
    <w:rsid w:val="00C443FC"/>
    <w:rsid w:val="00C446DA"/>
    <w:rsid w:val="00C5563F"/>
    <w:rsid w:val="00C57308"/>
    <w:rsid w:val="00C579A3"/>
    <w:rsid w:val="00C74497"/>
    <w:rsid w:val="00C9735B"/>
    <w:rsid w:val="00CE4A97"/>
    <w:rsid w:val="00D84817"/>
    <w:rsid w:val="00E003B7"/>
    <w:rsid w:val="00E16EDF"/>
    <w:rsid w:val="00E211FF"/>
    <w:rsid w:val="00E51B80"/>
    <w:rsid w:val="00E61EE4"/>
    <w:rsid w:val="00EC2682"/>
    <w:rsid w:val="00EF4871"/>
    <w:rsid w:val="00EF7E20"/>
    <w:rsid w:val="00F9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5D3E-67F5-4796-A784-3A67BBF9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13</cp:revision>
  <dcterms:created xsi:type="dcterms:W3CDTF">2026-01-22T22:36:00Z</dcterms:created>
  <dcterms:modified xsi:type="dcterms:W3CDTF">2026-01-22T22:58:00Z</dcterms:modified>
</cp:coreProperties>
</file>